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63BE" w14:textId="23ED0237" w:rsidR="00552F18" w:rsidRDefault="00552F18" w:rsidP="00552F18">
      <w:pPr>
        <w:pageBreakBefore/>
        <w:suppressAutoHyphens/>
        <w:spacing w:after="0" w:line="240" w:lineRule="auto"/>
        <w:rPr>
          <w:rFonts w:ascii="Tahoma" w:eastAsia="Times New Roman" w:hAnsi="Tahoma" w:cs="Tahoma"/>
          <w:sz w:val="20"/>
          <w:szCs w:val="20"/>
          <w:lang w:eastAsia="ar-SA"/>
        </w:rPr>
      </w:pPr>
      <w:r>
        <w:rPr>
          <w:noProof/>
        </w:rPr>
        <w:drawing>
          <wp:inline distT="0" distB="0" distL="0" distR="0" wp14:anchorId="280ACA5D" wp14:editId="55D51015">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p>
    <w:p w14:paraId="03CB2B4C" w14:textId="567AAEAD" w:rsidR="00552F18" w:rsidRDefault="00F2625C"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noProof/>
        </w:rPr>
        <w:drawing>
          <wp:anchor distT="0" distB="0" distL="114300" distR="114300" simplePos="0" relativeHeight="251659264" behindDoc="1" locked="0" layoutInCell="1" allowOverlap="1" wp14:anchorId="07E0D260" wp14:editId="656DEB51">
            <wp:simplePos x="0" y="0"/>
            <wp:positionH relativeFrom="margin">
              <wp:posOffset>0</wp:posOffset>
            </wp:positionH>
            <wp:positionV relativeFrom="paragraph">
              <wp:posOffset>82412</wp:posOffset>
            </wp:positionV>
            <wp:extent cx="2919730" cy="733425"/>
            <wp:effectExtent l="0" t="0" r="0" b="9525"/>
            <wp:wrapTight wrapText="bothSides">
              <wp:wrapPolygon edited="0">
                <wp:start x="0" y="0"/>
                <wp:lineTo x="0" y="21319"/>
                <wp:lineTo x="21421" y="21319"/>
                <wp:lineTo x="21421"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9730" cy="733425"/>
                    </a:xfrm>
                    <a:prstGeom prst="rect">
                      <a:avLst/>
                    </a:prstGeom>
                    <a:noFill/>
                  </pic:spPr>
                </pic:pic>
              </a:graphicData>
            </a:graphic>
            <wp14:sizeRelH relativeFrom="margin">
              <wp14:pctWidth>0</wp14:pctWidth>
            </wp14:sizeRelH>
            <wp14:sizeRelV relativeFrom="margin">
              <wp14:pctHeight>0</wp14:pctHeight>
            </wp14:sizeRelV>
          </wp:anchor>
        </w:drawing>
      </w:r>
    </w:p>
    <w:p w14:paraId="2448A9B9"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12A3F102" w14:textId="77777777" w:rsidR="00552F18" w:rsidRDefault="00552F18" w:rsidP="00552F18">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36618230"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55CC4893"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190900C7"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096F8FD0"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p>
    <w:p w14:paraId="17ECD6E9" w14:textId="77777777" w:rsidR="00552F18" w:rsidRDefault="00552F18" w:rsidP="0069438B">
      <w:pPr>
        <w:suppressAutoHyphens/>
        <w:spacing w:after="0" w:line="240" w:lineRule="auto"/>
        <w:ind w:left="5670"/>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Stazione Unica Appaltante </w:t>
      </w:r>
    </w:p>
    <w:p w14:paraId="73FD72E5" w14:textId="77777777" w:rsidR="00552F18" w:rsidRDefault="00552F18" w:rsidP="0069438B">
      <w:pPr>
        <w:suppressAutoHyphens/>
        <w:spacing w:after="0" w:line="240" w:lineRule="auto"/>
        <w:ind w:left="5670"/>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della Provincia di Piacenza</w:t>
      </w:r>
    </w:p>
    <w:p w14:paraId="5D2DBB9E" w14:textId="77777777" w:rsidR="00552F18" w:rsidRDefault="00552F18" w:rsidP="0069438B">
      <w:pPr>
        <w:suppressAutoHyphens/>
        <w:spacing w:after="0" w:line="240" w:lineRule="auto"/>
        <w:ind w:left="5670"/>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3E838320" w14:textId="77777777" w:rsidR="00552F18" w:rsidRDefault="00552F18" w:rsidP="0069438B">
      <w:pPr>
        <w:suppressAutoHyphens/>
        <w:spacing w:after="0" w:line="240" w:lineRule="auto"/>
        <w:ind w:left="5670"/>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4E8994EA" w14:textId="77777777" w:rsidR="008A2891" w:rsidRPr="008A2891" w:rsidRDefault="00552F18" w:rsidP="008A2891">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sidRPr="00FA5F4F">
        <w:rPr>
          <w:rFonts w:ascii="Tahoma" w:hAnsi="Tahoma" w:cs="Tahoma"/>
          <w:b/>
          <w:sz w:val="20"/>
          <w:szCs w:val="20"/>
          <w:lang w:eastAsia="ar-SA"/>
        </w:rPr>
        <w:t>OGGETTO</w:t>
      </w:r>
      <w:r w:rsidRPr="00FA5F4F">
        <w:rPr>
          <w:rFonts w:ascii="Tahoma" w:hAnsi="Tahoma" w:cs="Tahoma"/>
          <w:sz w:val="20"/>
          <w:szCs w:val="20"/>
          <w:lang w:eastAsia="ar-SA"/>
        </w:rPr>
        <w:t>:</w:t>
      </w:r>
      <w:r w:rsidRPr="00442A85">
        <w:t xml:space="preserve"> </w:t>
      </w:r>
      <w:r w:rsidR="008A2891" w:rsidRPr="008A2891">
        <w:rPr>
          <w:rFonts w:ascii="Tahoma" w:hAnsi="Tahoma" w:cs="Tahoma"/>
          <w:b/>
          <w:bCs/>
          <w:sz w:val="20"/>
          <w:szCs w:val="20"/>
          <w:lang w:eastAsia="ar-SA"/>
        </w:rPr>
        <w:t xml:space="preserve">PROCEDURA APERTA PER L’AFFIDAMENTO IN FORMA ASSOCIATA DEI LAVORI DI CUI AL PROGETTO DENOMINATO “RESTAURO/RIUSO COME HUB CULTURALE / BIBLIOTECA DELL'EDIFICO DELLE "EX SCUDERIE" DEL CASTELLO DI CALENDASCO (PC)” SUDDIVISO IN DUE LOTTI. LOTTO 1: INTERVENTO "RESTAURO DELLE EX-SCUDERIE DEL CASTELLO DI CALENDASCO" - Intervento finanziato dall’Unione Europea NextGenerationEU - M1C3 – Misura 2 – Investimento 2.1 - Attrattività dei Borghi.  CUP E19D22000030001. LOTTO 2: INTERVENTO "CALENDASCO HUB CULTURALE_CHC HERITAGE CULTURALE E RIGENERAZIONE URBANA PER LE EX-SCUDERIE DEL CASTELLO DI CALENDASCO (PC)" Intervento finanziato dalla Regione Emilia-Romagna Bando Rigenerazione Urbana 2021. CUP H65F21000710002. </w:t>
      </w:r>
    </w:p>
    <w:p w14:paraId="0F22C40E" w14:textId="77777777" w:rsidR="008A2891" w:rsidRPr="008A2891" w:rsidRDefault="008A2891" w:rsidP="008A2891">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sidRPr="008A2891">
        <w:rPr>
          <w:rFonts w:ascii="Tahoma" w:hAnsi="Tahoma" w:cs="Tahoma"/>
          <w:b/>
          <w:bCs/>
          <w:sz w:val="20"/>
          <w:szCs w:val="20"/>
          <w:lang w:eastAsia="ar-SA"/>
        </w:rPr>
        <w:t>CIG LOTTO 1: CIG 9918209CFA</w:t>
      </w:r>
    </w:p>
    <w:p w14:paraId="28ABD739" w14:textId="77777777" w:rsidR="008A2891" w:rsidRDefault="008A2891" w:rsidP="008A2891">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sidRPr="008A2891">
        <w:rPr>
          <w:rFonts w:ascii="Tahoma" w:hAnsi="Tahoma" w:cs="Tahoma"/>
          <w:b/>
          <w:bCs/>
          <w:sz w:val="20"/>
          <w:szCs w:val="20"/>
          <w:lang w:eastAsia="ar-SA"/>
        </w:rPr>
        <w:t>CIG LOTTO 2: CIG 9918323B0E</w:t>
      </w:r>
    </w:p>
    <w:p w14:paraId="4AAB15AB" w14:textId="6BE4194F" w:rsidR="00552F18" w:rsidRDefault="00552F18" w:rsidP="008A2891">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552F18" w14:paraId="525D3EC5" w14:textId="77777777" w:rsidTr="007375BF">
        <w:tc>
          <w:tcPr>
            <w:tcW w:w="1320" w:type="dxa"/>
            <w:gridSpan w:val="2"/>
            <w:tcBorders>
              <w:top w:val="double" w:sz="2" w:space="0" w:color="C0C0C0"/>
              <w:left w:val="double" w:sz="2" w:space="0" w:color="C0C0C0"/>
              <w:bottom w:val="double" w:sz="2" w:space="0" w:color="C0C0C0"/>
              <w:right w:val="nil"/>
            </w:tcBorders>
            <w:hideMark/>
          </w:tcPr>
          <w:p w14:paraId="206B14F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47102B63"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CCEA8D7" w14:textId="77777777" w:rsidTr="007375BF">
        <w:tc>
          <w:tcPr>
            <w:tcW w:w="630" w:type="dxa"/>
            <w:tcBorders>
              <w:top w:val="double" w:sz="2" w:space="0" w:color="C0C0C0"/>
              <w:left w:val="double" w:sz="2" w:space="0" w:color="C0C0C0"/>
              <w:bottom w:val="double" w:sz="2" w:space="0" w:color="C0C0C0"/>
              <w:right w:val="nil"/>
            </w:tcBorders>
            <w:hideMark/>
          </w:tcPr>
          <w:p w14:paraId="5E3DE22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071AFE0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318FAA3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6F827DE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7C254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3CA4794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7A03B3EC" w14:textId="77777777" w:rsidTr="007375BF">
        <w:tc>
          <w:tcPr>
            <w:tcW w:w="1320" w:type="dxa"/>
            <w:gridSpan w:val="2"/>
            <w:tcBorders>
              <w:top w:val="double" w:sz="2" w:space="0" w:color="C0C0C0"/>
              <w:left w:val="double" w:sz="2" w:space="0" w:color="C0C0C0"/>
              <w:bottom w:val="double" w:sz="2" w:space="0" w:color="C0C0C0"/>
              <w:right w:val="nil"/>
            </w:tcBorders>
            <w:hideMark/>
          </w:tcPr>
          <w:p w14:paraId="6F2FEB1D"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5B9B6B"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0166104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438BDE7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67E27789"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610B52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F0A92D1" w14:textId="77777777" w:rsidTr="007375BF">
        <w:tc>
          <w:tcPr>
            <w:tcW w:w="1320" w:type="dxa"/>
            <w:gridSpan w:val="2"/>
            <w:tcBorders>
              <w:top w:val="double" w:sz="2" w:space="0" w:color="C0C0C0"/>
              <w:left w:val="double" w:sz="2" w:space="0" w:color="C0C0C0"/>
              <w:bottom w:val="double" w:sz="2" w:space="0" w:color="C0C0C0"/>
              <w:right w:val="nil"/>
            </w:tcBorders>
            <w:hideMark/>
          </w:tcPr>
          <w:p w14:paraId="7B1A5BA4"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3D3AACF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3A70665E" w14:textId="77777777" w:rsidTr="007375BF">
        <w:tc>
          <w:tcPr>
            <w:tcW w:w="1320" w:type="dxa"/>
            <w:gridSpan w:val="2"/>
            <w:tcBorders>
              <w:top w:val="double" w:sz="2" w:space="0" w:color="C0C0C0"/>
              <w:left w:val="double" w:sz="2" w:space="0" w:color="C0C0C0"/>
              <w:bottom w:val="double" w:sz="2" w:space="0" w:color="C0C0C0"/>
              <w:right w:val="nil"/>
            </w:tcBorders>
            <w:hideMark/>
          </w:tcPr>
          <w:p w14:paraId="23AF24E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127AEFA"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4D81E48" w14:textId="77777777" w:rsidTr="007375BF">
        <w:tc>
          <w:tcPr>
            <w:tcW w:w="1710" w:type="dxa"/>
            <w:gridSpan w:val="4"/>
            <w:tcBorders>
              <w:top w:val="double" w:sz="2" w:space="0" w:color="C0C0C0"/>
              <w:left w:val="double" w:sz="2" w:space="0" w:color="C0C0C0"/>
              <w:bottom w:val="double" w:sz="2" w:space="0" w:color="C0C0C0"/>
              <w:right w:val="nil"/>
            </w:tcBorders>
            <w:hideMark/>
          </w:tcPr>
          <w:p w14:paraId="0513EAC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6823C5B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3F63DD82"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7535A5A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262016C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3816FC4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41EF1A29" w14:textId="77777777" w:rsidTr="007375BF">
        <w:tc>
          <w:tcPr>
            <w:tcW w:w="1815" w:type="dxa"/>
            <w:gridSpan w:val="5"/>
            <w:tcBorders>
              <w:top w:val="double" w:sz="2" w:space="0" w:color="C0C0C0"/>
              <w:left w:val="double" w:sz="2" w:space="0" w:color="C0C0C0"/>
              <w:bottom w:val="double" w:sz="2" w:space="0" w:color="C0C0C0"/>
              <w:right w:val="nil"/>
            </w:tcBorders>
            <w:hideMark/>
          </w:tcPr>
          <w:p w14:paraId="520E9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lastRenderedPageBreak/>
              <w:t>e sede operativa in</w:t>
            </w:r>
          </w:p>
        </w:tc>
        <w:tc>
          <w:tcPr>
            <w:tcW w:w="2940" w:type="dxa"/>
            <w:gridSpan w:val="4"/>
            <w:tcBorders>
              <w:top w:val="double" w:sz="2" w:space="0" w:color="C0C0C0"/>
              <w:left w:val="double" w:sz="2" w:space="0" w:color="C0C0C0"/>
              <w:bottom w:val="double" w:sz="2" w:space="0" w:color="C0C0C0"/>
              <w:right w:val="nil"/>
            </w:tcBorders>
          </w:tcPr>
          <w:p w14:paraId="14467C8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F22EED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2A32DFF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7CC5EEF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06EB3A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3F06D1C" w14:textId="77777777" w:rsidTr="007375BF">
        <w:tc>
          <w:tcPr>
            <w:tcW w:w="1425" w:type="dxa"/>
            <w:gridSpan w:val="3"/>
            <w:tcBorders>
              <w:top w:val="double" w:sz="2" w:space="0" w:color="C0C0C0"/>
              <w:left w:val="double" w:sz="2" w:space="0" w:color="C0C0C0"/>
              <w:bottom w:val="double" w:sz="2" w:space="0" w:color="C0C0C0"/>
              <w:right w:val="nil"/>
            </w:tcBorders>
            <w:hideMark/>
          </w:tcPr>
          <w:p w14:paraId="0CCB607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7140EA0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25F1A35"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757D534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bl>
    <w:p w14:paraId="1996AC82" w14:textId="77777777" w:rsidR="00552F18" w:rsidRDefault="00552F18" w:rsidP="00552F18">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telefono: ______________________________ pec: _______________________________________________________</w:t>
      </w:r>
    </w:p>
    <w:p w14:paraId="4464A8D4" w14:textId="77777777" w:rsidR="00552F18" w:rsidRDefault="00552F18" w:rsidP="00552F18">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t>CHIEDE</w:t>
      </w:r>
    </w:p>
    <w:p w14:paraId="64ADB04B" w14:textId="77777777" w:rsidR="00552F18" w:rsidRDefault="00552F18" w:rsidP="00552F18">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765120EF"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singolo;</w:t>
      </w:r>
    </w:p>
    <w:p w14:paraId="21695C0C"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capogruppo di associazione temporanea di imprese o di consorzio ex art. 45, comma 2, lett. d) ed e) del D. Lgs. n. 50/2016;</w:t>
      </w:r>
    </w:p>
    <w:p w14:paraId="61FD0F80" w14:textId="77777777" w:rsidR="00552F18" w:rsidRDefault="00552F18" w:rsidP="00552F18">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444884DB" w14:textId="77777777" w:rsidR="00552F18" w:rsidRDefault="00552F18" w:rsidP="00552F18">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2D1D99DB"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mandante di Raggruppamento Temporaneo di concorrenti o di Consorzio ex art. 45, comma 2, lett. d) ed e) del D.Lgs. n. 50/2016;</w:t>
      </w:r>
    </w:p>
    <w:p w14:paraId="63A4274B" w14:textId="77777777" w:rsidR="00552F18" w:rsidRDefault="00552F18" w:rsidP="00552F18">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2B84660D" w14:textId="77777777" w:rsidR="00552F18" w:rsidRDefault="00552F18" w:rsidP="00552F18">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114BD997"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fra società cooperative di produzione e lavoro ai sensi dell’art. 45, comma 2, lett. b) del D.Lgs. n. 50/2016;</w:t>
      </w:r>
    </w:p>
    <w:p w14:paraId="25E739AB"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tra imprese artigiane ai sensi dell’art. 45, comma 2, lett. b) del D.Lgs. 50/2016;</w:t>
      </w:r>
    </w:p>
    <w:p w14:paraId="329C175C"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stabile ex art. 45, comma 2, lett. c) del D Lgs. 50/2016;</w:t>
      </w:r>
    </w:p>
    <w:p w14:paraId="2938EDC7"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designata quale consorziata esecutrice;</w:t>
      </w:r>
    </w:p>
    <w:p w14:paraId="0806BE78" w14:textId="77777777" w:rsidR="00552F18" w:rsidRDefault="00552F18" w:rsidP="00552F18">
      <w:pPr>
        <w:numPr>
          <w:ilvl w:val="0"/>
          <w:numId w:val="1"/>
        </w:numPr>
        <w:suppressAutoHyphens/>
        <w:spacing w:before="120" w:after="12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stabilito in altro Stato membro ex art. 45, comma 1, del D.Lgs. 50/2016;</w:t>
      </w:r>
    </w:p>
    <w:p w14:paraId="05C5A68A"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0A929E4E"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14:paraId="35CFC338"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7E810D9D"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37F42ACF" w14:textId="77777777" w:rsidR="00552F18" w:rsidRDefault="00552F18" w:rsidP="00552F18">
      <w:pPr>
        <w:suppressAutoHyphens/>
        <w:spacing w:after="62" w:line="240" w:lineRule="auto"/>
        <w:ind w:left="426"/>
        <w:jc w:val="center"/>
        <w:rPr>
          <w:rFonts w:ascii="Tahoma" w:eastAsia="Times New Roman" w:hAnsi="Tahoma" w:cs="Tahoma"/>
          <w:color w:val="000000"/>
          <w:sz w:val="20"/>
          <w:szCs w:val="20"/>
          <w:lang w:eastAsia="ar-SA"/>
        </w:rPr>
      </w:pPr>
    </w:p>
    <w:p w14:paraId="2D1B1AE5" w14:textId="77777777" w:rsidR="00552F18" w:rsidRDefault="00552F18" w:rsidP="00552F18">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03E398EA" w14:textId="77777777" w:rsidR="00552F18" w:rsidRDefault="00552F18" w:rsidP="00FA4545">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4D6DF4B1"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p>
    <w:p w14:paraId="0E51002C"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5480519A"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59C774EF"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53DDD58E"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14:paraId="00569589"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14B3604B"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081E794" w14:textId="77777777" w:rsidR="00552F18" w:rsidRDefault="00552F18" w:rsidP="00552F18">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529DE1CD" w14:textId="7A73A80C" w:rsidR="00552F18" w:rsidRPr="00F72515" w:rsidRDefault="00AE7553" w:rsidP="00552F18">
      <w:pPr>
        <w:pStyle w:val="Paragrafoelenco"/>
        <w:numPr>
          <w:ilvl w:val="0"/>
          <w:numId w:val="2"/>
        </w:numPr>
        <w:jc w:val="both"/>
        <w:rPr>
          <w:rFonts w:ascii="Tahoma" w:eastAsia="Times New Roman" w:hAnsi="Tahoma" w:cs="Tahoma"/>
          <w:color w:val="000000"/>
          <w:sz w:val="20"/>
          <w:szCs w:val="20"/>
          <w:lang w:eastAsia="ar-SA"/>
        </w:rPr>
      </w:pPr>
      <w:r w:rsidRPr="00AE7553">
        <w:rPr>
          <w:rFonts w:ascii="Tahoma" w:eastAsia="Times New Roman" w:hAnsi="Tahoma" w:cs="Tahoma"/>
          <w:color w:val="000000"/>
          <w:sz w:val="20"/>
          <w:szCs w:val="20"/>
          <w:lang w:eastAsia="ar-SA"/>
        </w:rPr>
        <w:t xml:space="preserve">di aver visitato i luoghi dove devono eseguirsi i lavori e </w:t>
      </w:r>
      <w:r w:rsidR="00552F18" w:rsidRPr="00F72515">
        <w:rPr>
          <w:rFonts w:ascii="Tahoma" w:eastAsia="Times New Roman" w:hAnsi="Tahoma" w:cs="Tahoma"/>
          <w:color w:val="000000"/>
          <w:sz w:val="20"/>
          <w:szCs w:val="20"/>
          <w:lang w:eastAsia="ar-SA"/>
        </w:rPr>
        <w:t>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0DEC5B01"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3F6BED8F" w14:textId="72A03E13"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w:t>
      </w:r>
      <w:r w:rsidR="0086608D">
        <w:rPr>
          <w:rFonts w:ascii="Tahoma" w:eastAsia="Times New Roman" w:hAnsi="Tahoma" w:cs="Tahoma"/>
          <w:color w:val="000000"/>
          <w:sz w:val="20"/>
          <w:szCs w:val="20"/>
          <w:lang w:eastAsia="ar-SA"/>
        </w:rPr>
        <w:t>lla documentazione progettuale costituente entrambi i lotti</w:t>
      </w:r>
      <w:r>
        <w:rPr>
          <w:rFonts w:ascii="Tahoma" w:eastAsia="Times New Roman" w:hAnsi="Tahoma" w:cs="Tahoma"/>
          <w:color w:val="000000"/>
          <w:sz w:val="20"/>
          <w:szCs w:val="20"/>
          <w:lang w:eastAsia="ar-SA"/>
        </w:rPr>
        <w:t>, comprendente, tra l'altro, il piano di sicurezza, che ritiene, previo approfondito esame da un punto di vista tecnico – finanziario, incondizionatamente eseguibile ed afferma esplicitamente sin d'ora che nessuna riserva, di alcun genere, ha da formulare al riguardo;</w:t>
      </w:r>
    </w:p>
    <w:p w14:paraId="2A8569A2"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5B3227CB" w14:textId="77777777" w:rsidR="00552F18" w:rsidRDefault="00552F18" w:rsidP="00552F18">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2E2D7C93" w14:textId="77777777" w:rsidR="00552F18" w:rsidRDefault="00552F18" w:rsidP="00552F18">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210E779" w14:textId="77777777" w:rsidR="00552F18" w:rsidRDefault="00552F18" w:rsidP="00552F18">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7D8CDF26"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0" w:name="_Hlk20993364"/>
      <w:r>
        <w:rPr>
          <w:rFonts w:ascii="Tahoma" w:eastAsia="Times New Roman" w:hAnsi="Tahoma" w:cs="Tahoma"/>
          <w:bCs/>
          <w:kern w:val="2"/>
          <w:sz w:val="20"/>
          <w:szCs w:val="20"/>
          <w:lang w:eastAsia="ar-SA"/>
        </w:rPr>
        <w:t xml:space="preserve">(o della scadenza intermedia nel caso di consorzio) </w:t>
      </w:r>
      <w:bookmarkEnd w:id="0"/>
      <w:r>
        <w:rPr>
          <w:rFonts w:ascii="Tahoma" w:eastAsia="Times New Roman" w:hAnsi="Tahoma" w:cs="Tahoma"/>
          <w:bCs/>
          <w:kern w:val="2"/>
          <w:sz w:val="20"/>
          <w:szCs w:val="20"/>
          <w:lang w:eastAsia="ar-SA"/>
        </w:rPr>
        <w:t xml:space="preserve">della certificazione SOA posseduta, ma l'impresa ha richiesto la verifica in data ________________, </w:t>
      </w:r>
      <w:r w:rsidRPr="00A643E7">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2059BEFA" w14:textId="77777777" w:rsidR="00552F18" w:rsidRDefault="00552F18" w:rsidP="00552F18">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2E002E33"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F928E7" w14:textId="77777777" w:rsidR="00552F18" w:rsidRDefault="00552F18" w:rsidP="00552F18">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0CA2FF9C" w14:textId="77777777" w:rsidR="00552F18" w:rsidRDefault="00552F18" w:rsidP="00552F18">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lastRenderedPageBreak/>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 </w:t>
      </w:r>
      <w:r>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6434C768"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57D2C269" w14:textId="77777777" w:rsidR="00552F18" w:rsidRPr="004E29C1" w:rsidRDefault="00552F18" w:rsidP="00552F18">
      <w:pPr>
        <w:numPr>
          <w:ilvl w:val="0"/>
          <w:numId w:val="2"/>
        </w:numPr>
        <w:spacing w:after="62"/>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non essere stato sottoposto a fallimento e di non trovarsi in stato di liquidazione coatta o di concordato preventivo, e che non è in corso un procedimento per la dichiarazione di una di tali situazioni nei propri </w:t>
      </w:r>
      <w:r w:rsidRPr="004E29C1">
        <w:rPr>
          <w:rFonts w:ascii="Tahoma" w:eastAsia="Times New Roman" w:hAnsi="Tahoma" w:cs="Tahoma"/>
          <w:color w:val="000000"/>
          <w:sz w:val="20"/>
          <w:szCs w:val="20"/>
          <w:lang w:eastAsia="ar-SA"/>
        </w:rPr>
        <w:t>confronti;</w:t>
      </w:r>
    </w:p>
    <w:p w14:paraId="4B7929FC" w14:textId="02BDB978" w:rsidR="00552F18" w:rsidRPr="004E29C1" w:rsidRDefault="002160D5"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sidRPr="004E29C1">
        <w:rPr>
          <w:rFonts w:ascii="Tahoma" w:eastAsia="Times New Roman" w:hAnsi="Tahoma" w:cs="Tahoma"/>
          <w:color w:val="000000"/>
          <w:sz w:val="20"/>
          <w:szCs w:val="20"/>
          <w:lang w:eastAsia="ar-SA"/>
        </w:rPr>
        <w:t>di non aver commesso gravi violazioni non definitivamente accertate in materia fiscale ai sensi del Decreto del Ministero dell’Economia e delle Finanze del 28.09.2022 pubblicato sulla GU Serie Generale n. 239 del 12.10.2022;</w:t>
      </w:r>
    </w:p>
    <w:p w14:paraId="024C7B59"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14:paraId="4B24ADCB"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592C21E2"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0D1CC37B"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2383FA23"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191FC9E3"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7390D3A4" w14:textId="77777777" w:rsidR="00552F18" w:rsidRDefault="00552F18" w:rsidP="00552F18">
      <w:pPr>
        <w:suppressAutoHyphens/>
        <w:spacing w:after="62" w:line="240" w:lineRule="auto"/>
        <w:ind w:left="360"/>
        <w:jc w:val="center"/>
        <w:rPr>
          <w:rFonts w:ascii="Tahoma" w:eastAsia="Times New Roman" w:hAnsi="Tahoma" w:cs="Tahoma"/>
          <w:i/>
          <w:color w:val="000000"/>
          <w:sz w:val="20"/>
          <w:szCs w:val="20"/>
          <w:lang w:eastAsia="ar-SA"/>
        </w:rPr>
      </w:pPr>
      <w:r>
        <w:rPr>
          <w:rFonts w:ascii="Tahoma" w:eastAsia="Times New Roman" w:hAnsi="Tahoma" w:cs="Tahoma"/>
          <w:i/>
          <w:color w:val="000000"/>
          <w:sz w:val="20"/>
          <w:szCs w:val="20"/>
          <w:lang w:eastAsia="ar-SA"/>
        </w:rPr>
        <w:t>oppure</w:t>
      </w:r>
    </w:p>
    <w:p w14:paraId="1614340A"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Tahoma" w:eastAsia="Times New Roman" w:hAnsi="Tahoma" w:cs="Tahoma"/>
          <w:b/>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w:t>
      </w:r>
    </w:p>
    <w:p w14:paraId="6B795567" w14:textId="77777777" w:rsidR="0086608D" w:rsidRPr="003A76DD" w:rsidRDefault="0086608D" w:rsidP="0086608D">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7D6082">
        <w:rPr>
          <w:rFonts w:ascii="Tahoma" w:eastAsia="Times New Roman" w:hAnsi="Tahoma" w:cs="Tahoma"/>
          <w:color w:val="000000"/>
          <w:sz w:val="20"/>
          <w:szCs w:val="20"/>
          <w:lang w:eastAsia="ar-SA" w:bidi="it-IT"/>
        </w:rPr>
        <w:t xml:space="preserve">di essere consapevoli che, in caso di aggiudicazione, dovranno essere in possesso delle seguenti abilitazioni ad </w:t>
      </w:r>
      <w:r w:rsidRPr="003A76DD">
        <w:rPr>
          <w:rFonts w:ascii="Tahoma" w:eastAsia="Times New Roman" w:hAnsi="Tahoma" w:cs="Tahoma"/>
          <w:color w:val="000000"/>
          <w:sz w:val="20"/>
          <w:szCs w:val="20"/>
          <w:lang w:eastAsia="ar-SA" w:bidi="it-IT"/>
        </w:rPr>
        <w:t>eseguire impianti ai sensi del D.M. 37/2008:</w:t>
      </w:r>
    </w:p>
    <w:p w14:paraId="28CE3413" w14:textId="6C79BA9D" w:rsidR="0086608D" w:rsidRPr="003A76DD" w:rsidRDefault="0086608D" w:rsidP="0086608D">
      <w:pPr>
        <w:numPr>
          <w:ilvl w:val="0"/>
          <w:numId w:val="6"/>
        </w:numPr>
        <w:suppressAutoHyphens/>
        <w:spacing w:after="62" w:line="240" w:lineRule="auto"/>
        <w:jc w:val="both"/>
        <w:rPr>
          <w:rFonts w:ascii="Tahoma" w:eastAsia="Times New Roman" w:hAnsi="Tahoma" w:cs="Tahoma"/>
          <w:color w:val="000000"/>
          <w:sz w:val="20"/>
          <w:szCs w:val="20"/>
          <w:lang w:eastAsia="ar-SA" w:bidi="it-IT"/>
        </w:rPr>
      </w:pPr>
      <w:r w:rsidRPr="003A76DD">
        <w:rPr>
          <w:rFonts w:ascii="Tahoma" w:eastAsia="Times New Roman" w:hAnsi="Tahoma" w:cs="Tahoma"/>
          <w:color w:val="000000"/>
          <w:sz w:val="20"/>
          <w:szCs w:val="20"/>
          <w:lang w:eastAsia="ar-SA" w:bidi="it-IT"/>
        </w:rPr>
        <w:t>art. 1 comma 2 lettera a): impianti di produzione, trasformazione, trasporto, distribuzione, utilizzazione dell'energia elettrica, impianti di protezione contro le scariche atmosferiche, nonché gli impianti per l'automazione di porte, cancelli e barriere (requisito esecuzione LOTTO 1</w:t>
      </w:r>
      <w:r w:rsidR="003A76DD" w:rsidRPr="003A76DD">
        <w:rPr>
          <w:rFonts w:ascii="Tahoma" w:eastAsia="Times New Roman" w:hAnsi="Tahoma" w:cs="Tahoma"/>
          <w:color w:val="000000"/>
          <w:sz w:val="20"/>
          <w:szCs w:val="20"/>
          <w:lang w:eastAsia="ar-SA" w:bidi="it-IT"/>
        </w:rPr>
        <w:t xml:space="preserve"> e LOTTO 2</w:t>
      </w:r>
      <w:r w:rsidRPr="003A76DD">
        <w:rPr>
          <w:rFonts w:ascii="Tahoma" w:eastAsia="Times New Roman" w:hAnsi="Tahoma" w:cs="Tahoma"/>
          <w:color w:val="000000"/>
          <w:sz w:val="20"/>
          <w:szCs w:val="20"/>
          <w:lang w:eastAsia="ar-SA" w:bidi="it-IT"/>
        </w:rPr>
        <w:t>);</w:t>
      </w:r>
    </w:p>
    <w:p w14:paraId="09B086DC" w14:textId="4347BCBA" w:rsidR="0086608D" w:rsidRPr="003A76DD" w:rsidRDefault="0086608D" w:rsidP="0086608D">
      <w:pPr>
        <w:numPr>
          <w:ilvl w:val="0"/>
          <w:numId w:val="6"/>
        </w:numPr>
        <w:suppressAutoHyphens/>
        <w:spacing w:after="62" w:line="240" w:lineRule="auto"/>
        <w:jc w:val="both"/>
        <w:rPr>
          <w:rFonts w:ascii="Tahoma" w:eastAsia="Times New Roman" w:hAnsi="Tahoma" w:cs="Tahoma"/>
          <w:color w:val="000000"/>
          <w:sz w:val="20"/>
          <w:szCs w:val="20"/>
          <w:lang w:eastAsia="ar-SA" w:bidi="it-IT"/>
        </w:rPr>
      </w:pPr>
      <w:r w:rsidRPr="003A76DD">
        <w:rPr>
          <w:rFonts w:ascii="Tahoma" w:eastAsia="Times New Roman" w:hAnsi="Tahoma" w:cs="Tahoma"/>
          <w:color w:val="000000"/>
          <w:sz w:val="20"/>
          <w:szCs w:val="20"/>
          <w:lang w:eastAsia="ar-SA" w:bidi="it-IT"/>
        </w:rPr>
        <w:t>art. 1 comma 2 lettera c): impianti di riscaldamento, di climatizzazione, di condizionamento e di refrigerazione di qualsiasi natura o specie, comprese le opere di evacuazione dei prodotti della combustione e delle condense, e di ventilazione ed aerazione dei locali (requisito esecuzione LOTTO 1</w:t>
      </w:r>
      <w:r w:rsidR="003A76DD" w:rsidRPr="003A76DD">
        <w:rPr>
          <w:rFonts w:ascii="Tahoma" w:eastAsia="Times New Roman" w:hAnsi="Tahoma" w:cs="Tahoma"/>
          <w:color w:val="000000"/>
          <w:sz w:val="20"/>
          <w:szCs w:val="20"/>
          <w:lang w:eastAsia="ar-SA" w:bidi="it-IT"/>
        </w:rPr>
        <w:t xml:space="preserve"> e LOTTO 2</w:t>
      </w:r>
      <w:r w:rsidRPr="003A76DD">
        <w:rPr>
          <w:rFonts w:ascii="Tahoma" w:eastAsia="Times New Roman" w:hAnsi="Tahoma" w:cs="Tahoma"/>
          <w:color w:val="000000"/>
          <w:sz w:val="20"/>
          <w:szCs w:val="20"/>
          <w:lang w:eastAsia="ar-SA" w:bidi="it-IT"/>
        </w:rPr>
        <w:t>);</w:t>
      </w:r>
    </w:p>
    <w:p w14:paraId="5432641D" w14:textId="51F50CFE" w:rsidR="0086608D" w:rsidRPr="003A76DD" w:rsidRDefault="0086608D" w:rsidP="0086608D">
      <w:pPr>
        <w:numPr>
          <w:ilvl w:val="0"/>
          <w:numId w:val="6"/>
        </w:numPr>
        <w:suppressAutoHyphens/>
        <w:spacing w:after="62" w:line="240" w:lineRule="auto"/>
        <w:jc w:val="both"/>
        <w:rPr>
          <w:rFonts w:ascii="Tahoma" w:eastAsia="Times New Roman" w:hAnsi="Tahoma" w:cs="Tahoma"/>
          <w:color w:val="000000"/>
          <w:sz w:val="20"/>
          <w:szCs w:val="20"/>
          <w:lang w:eastAsia="ar-SA" w:bidi="it-IT"/>
        </w:rPr>
      </w:pPr>
      <w:r w:rsidRPr="003A76DD">
        <w:rPr>
          <w:rFonts w:ascii="Tahoma" w:eastAsia="Times New Roman" w:hAnsi="Tahoma" w:cs="Tahoma"/>
          <w:color w:val="000000"/>
          <w:sz w:val="20"/>
          <w:szCs w:val="20"/>
          <w:lang w:eastAsia="ar-SA" w:bidi="it-IT"/>
        </w:rPr>
        <w:t>art. 1 comma 2 lettera d): impianti idrici e sanitari di qualsiasi natura o specie (requisito esecuzione</w:t>
      </w:r>
      <w:r w:rsidR="003A76DD" w:rsidRPr="003A76DD">
        <w:rPr>
          <w:rFonts w:ascii="Tahoma" w:eastAsia="Times New Roman" w:hAnsi="Tahoma" w:cs="Tahoma"/>
          <w:color w:val="000000"/>
          <w:sz w:val="20"/>
          <w:szCs w:val="20"/>
          <w:lang w:eastAsia="ar-SA" w:bidi="it-IT"/>
        </w:rPr>
        <w:t xml:space="preserve"> LOTTO 1 e LOTTO 2</w:t>
      </w:r>
      <w:r w:rsidRPr="003A76DD">
        <w:rPr>
          <w:rFonts w:ascii="Tahoma" w:eastAsia="Times New Roman" w:hAnsi="Tahoma" w:cs="Tahoma"/>
          <w:color w:val="000000"/>
          <w:sz w:val="20"/>
          <w:szCs w:val="20"/>
          <w:lang w:eastAsia="ar-SA" w:bidi="it-IT"/>
        </w:rPr>
        <w:t>);</w:t>
      </w:r>
    </w:p>
    <w:p w14:paraId="168FF123" w14:textId="35DA0A86" w:rsidR="003A76DD" w:rsidRPr="003A76DD" w:rsidRDefault="003A76DD" w:rsidP="003A76DD">
      <w:pPr>
        <w:pStyle w:val="Paragrafoelenco"/>
        <w:numPr>
          <w:ilvl w:val="0"/>
          <w:numId w:val="6"/>
        </w:numPr>
        <w:rPr>
          <w:rFonts w:ascii="Tahoma" w:eastAsia="Times New Roman" w:hAnsi="Tahoma" w:cs="Tahoma"/>
          <w:color w:val="000000"/>
          <w:sz w:val="20"/>
          <w:szCs w:val="20"/>
          <w:lang w:eastAsia="ar-SA" w:bidi="it-IT"/>
        </w:rPr>
      </w:pPr>
      <w:r w:rsidRPr="003A76DD">
        <w:rPr>
          <w:rFonts w:ascii="Tahoma" w:eastAsia="Times New Roman" w:hAnsi="Tahoma" w:cs="Tahoma"/>
          <w:color w:val="000000"/>
          <w:sz w:val="20"/>
          <w:szCs w:val="20"/>
          <w:lang w:eastAsia="ar-SA" w:bidi="it-IT"/>
        </w:rPr>
        <w:t>art. 1 comma 2 lettera f) impianti di sollevamento di persone o di cose per mezzo di ascensori, di montacarichi, di scale mobili e simili (requisito esecuzione LOTTO 2);</w:t>
      </w:r>
    </w:p>
    <w:p w14:paraId="4EBCCB84" w14:textId="7EEBF666" w:rsidR="003A76DD" w:rsidRPr="003A76DD" w:rsidRDefault="003A76DD" w:rsidP="003A76DD">
      <w:pPr>
        <w:pStyle w:val="Paragrafoelenco"/>
        <w:numPr>
          <w:ilvl w:val="0"/>
          <w:numId w:val="6"/>
        </w:numPr>
        <w:rPr>
          <w:rFonts w:ascii="Tahoma" w:eastAsia="Times New Roman" w:hAnsi="Tahoma" w:cs="Tahoma"/>
          <w:color w:val="000000"/>
          <w:sz w:val="20"/>
          <w:szCs w:val="20"/>
          <w:lang w:eastAsia="ar-SA" w:bidi="it-IT"/>
        </w:rPr>
      </w:pPr>
      <w:r w:rsidRPr="003A76DD">
        <w:rPr>
          <w:rFonts w:ascii="Tahoma" w:eastAsia="Times New Roman" w:hAnsi="Tahoma" w:cs="Tahoma"/>
          <w:color w:val="000000"/>
          <w:sz w:val="20"/>
          <w:szCs w:val="20"/>
          <w:lang w:eastAsia="ar-SA" w:bidi="it-IT"/>
        </w:rPr>
        <w:t>art. 1 comma 2 lettera g) impianti di protezione antincendio (requisito esecuzione e LOTTO 2);</w:t>
      </w:r>
    </w:p>
    <w:p w14:paraId="18C77F61" w14:textId="77777777" w:rsidR="003A76DD" w:rsidRPr="0086608D" w:rsidRDefault="003A76DD" w:rsidP="003A76DD">
      <w:pPr>
        <w:suppressAutoHyphens/>
        <w:spacing w:after="62" w:line="240" w:lineRule="auto"/>
        <w:jc w:val="both"/>
        <w:rPr>
          <w:rFonts w:ascii="Tahoma" w:eastAsia="Times New Roman" w:hAnsi="Tahoma" w:cs="Tahoma"/>
          <w:color w:val="000000"/>
          <w:sz w:val="20"/>
          <w:szCs w:val="20"/>
          <w:highlight w:val="yellow"/>
          <w:lang w:eastAsia="ar-SA" w:bidi="it-IT"/>
        </w:rPr>
      </w:pPr>
    </w:p>
    <w:p w14:paraId="065567FA" w14:textId="71187943" w:rsidR="0086608D" w:rsidRPr="003A76DD" w:rsidRDefault="0086608D" w:rsidP="003A76DD">
      <w:pPr>
        <w:pStyle w:val="Paragrafoelenco"/>
        <w:numPr>
          <w:ilvl w:val="0"/>
          <w:numId w:val="2"/>
        </w:numPr>
        <w:jc w:val="both"/>
        <w:rPr>
          <w:rFonts w:ascii="Tahoma" w:eastAsia="Times New Roman" w:hAnsi="Tahoma" w:cs="Tahoma"/>
          <w:color w:val="000000"/>
          <w:sz w:val="20"/>
          <w:szCs w:val="20"/>
          <w:lang w:eastAsia="ar-SA" w:bidi="it-IT"/>
        </w:rPr>
      </w:pPr>
      <w:r w:rsidRPr="003A76DD">
        <w:rPr>
          <w:rFonts w:ascii="Tahoma" w:eastAsia="Times New Roman" w:hAnsi="Tahoma" w:cs="Tahoma"/>
          <w:b/>
          <w:color w:val="000000"/>
          <w:sz w:val="20"/>
          <w:szCs w:val="20"/>
          <w:lang w:eastAsia="ar-SA" w:bidi="it-IT"/>
        </w:rPr>
        <w:t xml:space="preserve">di assicurare, in caso di aggiudicazione, il rispetto di quanto stabilito dall’art. 47, comma 4 del Decreto-Legge 31 maggio 2021 (convertito con modificazioni nella Legge 29 luglio 2021, n.108, relativamente alle assunzioni necessarie per l’esecuzione del contratto o per la realizzazione di attività ad esso connesse o strumentali, destinate all’occupazione giovanile (inferiore agli anni 36) </w:t>
      </w:r>
      <w:r w:rsidRPr="003A76DD">
        <w:rPr>
          <w:rFonts w:ascii="Tahoma" w:eastAsia="Times New Roman" w:hAnsi="Tahoma" w:cs="Tahoma"/>
          <w:color w:val="000000"/>
          <w:sz w:val="20"/>
          <w:szCs w:val="20"/>
          <w:lang w:eastAsia="ar-SA" w:bidi="it-IT"/>
        </w:rPr>
        <w:t xml:space="preserve">nei limiti previsti dall’art. </w:t>
      </w:r>
      <w:r w:rsidR="003A76DD">
        <w:rPr>
          <w:rFonts w:ascii="Tahoma" w:eastAsia="Times New Roman" w:hAnsi="Tahoma" w:cs="Tahoma"/>
          <w:color w:val="000000"/>
          <w:sz w:val="20"/>
          <w:szCs w:val="20"/>
          <w:lang w:eastAsia="ar-SA" w:bidi="it-IT"/>
        </w:rPr>
        <w:t>1.1.1</w:t>
      </w:r>
      <w:r w:rsidRPr="003A76DD">
        <w:rPr>
          <w:rFonts w:ascii="Tahoma" w:eastAsia="Times New Roman" w:hAnsi="Tahoma" w:cs="Tahoma"/>
          <w:color w:val="000000"/>
          <w:sz w:val="20"/>
          <w:szCs w:val="20"/>
          <w:lang w:eastAsia="ar-SA" w:bidi="it-IT"/>
        </w:rPr>
        <w:t xml:space="preserve"> del Capitolato speciali d’appalto</w:t>
      </w:r>
      <w:r w:rsidR="004C5062">
        <w:rPr>
          <w:rFonts w:ascii="Tahoma" w:eastAsia="Times New Roman" w:hAnsi="Tahoma" w:cs="Tahoma"/>
          <w:color w:val="000000"/>
          <w:sz w:val="20"/>
          <w:szCs w:val="20"/>
          <w:lang w:eastAsia="ar-SA" w:bidi="it-IT"/>
        </w:rPr>
        <w:t xml:space="preserve"> relativo al LOTTO 1</w:t>
      </w:r>
      <w:r w:rsidR="002050F0">
        <w:rPr>
          <w:rFonts w:ascii="Tahoma" w:eastAsia="Times New Roman" w:hAnsi="Tahoma" w:cs="Tahoma"/>
          <w:color w:val="000000"/>
          <w:sz w:val="20"/>
          <w:szCs w:val="20"/>
          <w:lang w:eastAsia="ar-SA" w:bidi="it-IT"/>
        </w:rPr>
        <w:t xml:space="preserve"> e, quindi,</w:t>
      </w:r>
      <w:r w:rsidRPr="00691C19">
        <w:t xml:space="preserve"> </w:t>
      </w:r>
      <w:r w:rsidRPr="003A76DD">
        <w:rPr>
          <w:rFonts w:ascii="Tahoma" w:eastAsia="Times New Roman" w:hAnsi="Tahoma" w:cs="Tahoma"/>
          <w:color w:val="000000"/>
          <w:sz w:val="20"/>
          <w:szCs w:val="20"/>
          <w:lang w:eastAsia="ar-SA" w:bidi="it-IT"/>
        </w:rPr>
        <w:t>di assumersi l’obbligo, in caso di aggiudicazione del contratto</w:t>
      </w:r>
      <w:r w:rsidR="003A76DD" w:rsidRPr="003A76DD">
        <w:rPr>
          <w:rFonts w:ascii="Tahoma" w:eastAsia="Times New Roman" w:hAnsi="Tahoma" w:cs="Tahoma"/>
          <w:color w:val="000000"/>
          <w:sz w:val="20"/>
          <w:szCs w:val="20"/>
          <w:lang w:eastAsia="ar-SA" w:bidi="it-IT"/>
        </w:rPr>
        <w:t xml:space="preserve"> </w:t>
      </w:r>
      <w:r w:rsidR="003A76DD" w:rsidRPr="003A76DD">
        <w:rPr>
          <w:rFonts w:ascii="Tahoma" w:eastAsia="Times New Roman" w:hAnsi="Tahoma" w:cs="Tahoma"/>
          <w:b/>
          <w:color w:val="000000"/>
          <w:sz w:val="20"/>
          <w:szCs w:val="20"/>
          <w:lang w:eastAsia="ar-SA" w:bidi="it-IT"/>
        </w:rPr>
        <w:t>relativo al</w:t>
      </w:r>
      <w:r w:rsidR="003A76DD" w:rsidRPr="003A76DD">
        <w:rPr>
          <w:rFonts w:ascii="Tahoma" w:eastAsia="Times New Roman" w:hAnsi="Tahoma" w:cs="Tahoma"/>
          <w:color w:val="000000"/>
          <w:sz w:val="20"/>
          <w:szCs w:val="20"/>
          <w:lang w:eastAsia="ar-SA" w:bidi="it-IT"/>
        </w:rPr>
        <w:t xml:space="preserve"> </w:t>
      </w:r>
      <w:r w:rsidR="003A76DD" w:rsidRPr="003A76DD">
        <w:rPr>
          <w:rFonts w:ascii="Tahoma" w:eastAsia="Times New Roman" w:hAnsi="Tahoma" w:cs="Tahoma"/>
          <w:b/>
          <w:color w:val="000000"/>
          <w:sz w:val="20"/>
          <w:szCs w:val="20"/>
          <w:lang w:eastAsia="ar-SA" w:bidi="it-IT"/>
        </w:rPr>
        <w:t>LOTTO 1</w:t>
      </w:r>
      <w:r w:rsidRPr="003A76DD">
        <w:rPr>
          <w:rFonts w:ascii="Tahoma" w:eastAsia="Times New Roman" w:hAnsi="Tahoma" w:cs="Tahoma"/>
          <w:color w:val="000000"/>
          <w:sz w:val="20"/>
          <w:szCs w:val="20"/>
          <w:lang w:eastAsia="ar-SA" w:bidi="it-IT"/>
        </w:rPr>
        <w:t xml:space="preserve">, di assicurare all’occupazione giovanile una quota </w:t>
      </w:r>
      <w:r w:rsidR="003A76DD">
        <w:rPr>
          <w:rFonts w:ascii="Tahoma" w:eastAsia="Times New Roman" w:hAnsi="Tahoma" w:cs="Tahoma"/>
          <w:color w:val="000000"/>
          <w:sz w:val="20"/>
          <w:szCs w:val="20"/>
          <w:lang w:eastAsia="ar-SA" w:bidi="it-IT"/>
        </w:rPr>
        <w:t xml:space="preserve">pari </w:t>
      </w:r>
      <w:r w:rsidR="003A76DD" w:rsidRPr="003A76DD">
        <w:rPr>
          <w:rFonts w:ascii="Tahoma" w:eastAsia="Times New Roman" w:hAnsi="Tahoma" w:cs="Tahoma"/>
          <w:color w:val="000000"/>
          <w:sz w:val="20"/>
          <w:szCs w:val="20"/>
          <w:lang w:eastAsia="ar-SA" w:bidi="it-IT"/>
        </w:rPr>
        <w:t xml:space="preserve">almeno al 30 per cento </w:t>
      </w:r>
      <w:bookmarkStart w:id="1" w:name="_GoBack"/>
      <w:bookmarkEnd w:id="1"/>
      <w:r w:rsidR="003A76DD" w:rsidRPr="003A76DD">
        <w:rPr>
          <w:rFonts w:ascii="Tahoma" w:eastAsia="Times New Roman" w:hAnsi="Tahoma" w:cs="Tahoma"/>
          <w:color w:val="000000"/>
          <w:sz w:val="20"/>
          <w:szCs w:val="20"/>
          <w:lang w:eastAsia="ar-SA" w:bidi="it-IT"/>
        </w:rPr>
        <w:t>delle assunzioni necessarie per l'esecuzione del contratto o per la realizzazione di attività ad esso connesse o strumentali;</w:t>
      </w:r>
    </w:p>
    <w:p w14:paraId="1996019E" w14:textId="0157D123"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sidRPr="00691C19">
        <w:rPr>
          <w:rFonts w:ascii="Tahoma" w:eastAsia="Times New Roman" w:hAnsi="Tahoma" w:cs="Tahoma"/>
          <w:color w:val="000000"/>
          <w:sz w:val="20"/>
          <w:szCs w:val="20"/>
          <w:lang w:eastAsia="ar-SA"/>
        </w:rPr>
        <w:t>di occupare un numero di dipendenti pari a _________ e, pertanto (</w:t>
      </w:r>
      <w:r w:rsidRPr="00691C19">
        <w:rPr>
          <w:rFonts w:ascii="Tahoma" w:eastAsia="Times New Roman" w:hAnsi="Tahoma" w:cs="Tahoma"/>
          <w:i/>
          <w:color w:val="000000"/>
          <w:sz w:val="20"/>
          <w:szCs w:val="20"/>
          <w:lang w:eastAsia="ar-SA"/>
        </w:rPr>
        <w:t>barrare la casella di interesse fra le seguenti, a seconda del numero dei dipendenti occupati</w:t>
      </w:r>
      <w:r>
        <w:rPr>
          <w:rFonts w:ascii="Tahoma" w:eastAsia="Times New Roman" w:hAnsi="Tahoma" w:cs="Tahoma"/>
          <w:i/>
          <w:color w:val="000000"/>
          <w:sz w:val="20"/>
          <w:szCs w:val="20"/>
          <w:lang w:eastAsia="ar-SA"/>
        </w:rPr>
        <w:t xml:space="preserve">. </w:t>
      </w:r>
      <w:r w:rsidRPr="009325D1">
        <w:rPr>
          <w:rFonts w:ascii="Tahoma" w:eastAsia="Times New Roman" w:hAnsi="Tahoma" w:cs="Tahoma"/>
          <w:b/>
          <w:i/>
          <w:color w:val="000000"/>
          <w:sz w:val="20"/>
          <w:szCs w:val="20"/>
          <w:u w:val="single"/>
          <w:lang w:eastAsia="ar-SA"/>
        </w:rPr>
        <w:t>Si precisa che il numero dei dipendenti sarà confrontato con quello risultante dalla visura camerale</w:t>
      </w:r>
      <w:r w:rsidRPr="00691C19">
        <w:rPr>
          <w:rFonts w:ascii="Tahoma" w:eastAsia="Times New Roman" w:hAnsi="Tahoma" w:cs="Tahoma"/>
          <w:color w:val="000000"/>
          <w:sz w:val="20"/>
          <w:szCs w:val="20"/>
          <w:lang w:eastAsia="ar-SA"/>
        </w:rPr>
        <w:t>)</w:t>
      </w:r>
      <w:r w:rsidR="009325D1">
        <w:rPr>
          <w:rFonts w:ascii="Tahoma" w:eastAsia="Times New Roman" w:hAnsi="Tahoma" w:cs="Tahoma"/>
          <w:color w:val="000000"/>
          <w:sz w:val="20"/>
          <w:szCs w:val="20"/>
          <w:lang w:eastAsia="ar-SA"/>
        </w:rPr>
        <w:t>;</w:t>
      </w:r>
    </w:p>
    <w:p w14:paraId="2AC8D926" w14:textId="554E8F32"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i/>
          <w:color w:val="000000"/>
          <w:sz w:val="20"/>
          <w:szCs w:val="20"/>
          <w:lang w:eastAsia="ar-SA" w:bidi="it-IT"/>
        </w:rPr>
        <w:t xml:space="preserve">(per gli operatori economici che occupano un numero di dipendenti superiore ai 50) </w:t>
      </w:r>
      <w:r w:rsidRPr="00691C19">
        <w:rPr>
          <w:rFonts w:ascii="Tahoma" w:eastAsia="Times New Roman" w:hAnsi="Tahoma" w:cs="Tahoma"/>
          <w:color w:val="000000"/>
          <w:sz w:val="20"/>
          <w:szCs w:val="20"/>
          <w:lang w:eastAsia="ar-SA" w:bidi="it-IT"/>
        </w:rPr>
        <w:t>ai sensi dell’art. 47, comma 2, della legge 108/2021, per gli operatori economici tenuti alla redazione del rapporto sulla situazione del personale ai sensi dell’art. 46 del d.lgs. 198/2006</w:t>
      </w:r>
      <w:r w:rsidR="00070189">
        <w:rPr>
          <w:rFonts w:ascii="Tahoma" w:eastAsia="Times New Roman" w:hAnsi="Tahoma" w:cs="Tahoma"/>
          <w:color w:val="000000"/>
          <w:sz w:val="20"/>
          <w:szCs w:val="20"/>
          <w:lang w:eastAsia="ar-SA" w:bidi="it-IT"/>
        </w:rPr>
        <w:t>,</w:t>
      </w:r>
      <w:r w:rsidRPr="00691C19">
        <w:rPr>
          <w:rFonts w:ascii="Tahoma" w:eastAsia="Times New Roman" w:hAnsi="Tahoma" w:cs="Tahoma"/>
          <w:color w:val="000000"/>
          <w:sz w:val="20"/>
          <w:szCs w:val="20"/>
          <w:lang w:eastAsia="ar-SA" w:bidi="it-IT"/>
        </w:rPr>
        <w:t xml:space="preserve"> di </w:t>
      </w:r>
      <w:r w:rsidR="00070189" w:rsidRPr="00070189">
        <w:rPr>
          <w:rFonts w:ascii="Tahoma" w:eastAsia="Times New Roman" w:hAnsi="Tahoma" w:cs="Tahoma"/>
          <w:b/>
          <w:color w:val="000000"/>
          <w:sz w:val="20"/>
          <w:szCs w:val="20"/>
          <w:u w:val="single"/>
          <w:lang w:eastAsia="ar-SA" w:bidi="it-IT"/>
        </w:rPr>
        <w:t>allegare</w:t>
      </w:r>
      <w:r w:rsidRPr="00070189">
        <w:rPr>
          <w:rFonts w:ascii="Tahoma" w:eastAsia="Times New Roman" w:hAnsi="Tahoma" w:cs="Tahoma"/>
          <w:b/>
          <w:color w:val="000000"/>
          <w:sz w:val="20"/>
          <w:szCs w:val="20"/>
          <w:lang w:eastAsia="ar-SA" w:bidi="it-IT"/>
        </w:rPr>
        <w:t xml:space="preserve">, </w:t>
      </w:r>
      <w:r w:rsidRPr="00070189">
        <w:rPr>
          <w:rFonts w:ascii="Tahoma" w:eastAsia="Times New Roman" w:hAnsi="Tahoma" w:cs="Tahoma"/>
          <w:b/>
          <w:color w:val="000000"/>
          <w:sz w:val="20"/>
          <w:szCs w:val="20"/>
          <w:u w:val="single"/>
          <w:lang w:eastAsia="ar-SA" w:bidi="it-IT"/>
        </w:rPr>
        <w:t>a pena di esclusione</w:t>
      </w:r>
      <w:r w:rsidRPr="00691C19">
        <w:rPr>
          <w:rFonts w:ascii="Tahoma" w:eastAsia="Times New Roman" w:hAnsi="Tahoma" w:cs="Tahoma"/>
          <w:color w:val="000000"/>
          <w:sz w:val="20"/>
          <w:szCs w:val="20"/>
          <w:lang w:eastAsia="ar-SA" w:bidi="it-IT"/>
        </w:rPr>
        <w:t>, copia dell’ultimo rapporto redatto,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articolo 46, con attestazione della sua contestuale trasmissione alle rappresentanze sindacali aziendali e alla consigliera e al consigliere regionale di parità</w:t>
      </w:r>
      <w:r w:rsidR="00070189">
        <w:rPr>
          <w:rFonts w:ascii="Tahoma" w:eastAsia="Times New Roman" w:hAnsi="Tahoma" w:cs="Tahoma"/>
          <w:color w:val="000000"/>
          <w:sz w:val="20"/>
          <w:szCs w:val="20"/>
          <w:lang w:eastAsia="ar-SA" w:bidi="it-IT"/>
        </w:rPr>
        <w:t>;</w:t>
      </w:r>
    </w:p>
    <w:p w14:paraId="763F5CF8" w14:textId="465129C6"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relazione  che dovrà essere consegnata entro 6 mesi dalla stipula del </w:t>
      </w:r>
      <w:r w:rsidRPr="003A76DD">
        <w:rPr>
          <w:rFonts w:ascii="Tahoma" w:eastAsia="Times New Roman" w:hAnsi="Tahoma" w:cs="Tahoma"/>
          <w:b/>
          <w:color w:val="000000"/>
          <w:sz w:val="20"/>
          <w:szCs w:val="20"/>
          <w:lang w:eastAsia="ar-SA" w:bidi="it-IT"/>
        </w:rPr>
        <w:t>contratto</w:t>
      </w:r>
      <w:r w:rsidR="003A76DD" w:rsidRPr="003A76DD">
        <w:rPr>
          <w:rFonts w:ascii="Tahoma" w:eastAsia="Times New Roman" w:hAnsi="Tahoma" w:cs="Tahoma"/>
          <w:b/>
          <w:color w:val="000000"/>
          <w:sz w:val="20"/>
          <w:szCs w:val="20"/>
          <w:lang w:eastAsia="ar-SA" w:bidi="it-IT"/>
        </w:rPr>
        <w:t xml:space="preserve"> relativo al LOTTO 1</w:t>
      </w:r>
      <w:r w:rsidRPr="003A76DD">
        <w:rPr>
          <w:rFonts w:ascii="Tahoma" w:eastAsia="Times New Roman" w:hAnsi="Tahoma" w:cs="Tahoma"/>
          <w:b/>
          <w:color w:val="000000"/>
          <w:sz w:val="20"/>
          <w:szCs w:val="20"/>
          <w:lang w:eastAsia="ar-SA" w:bidi="it-IT"/>
        </w:rPr>
        <w:t>,</w:t>
      </w:r>
      <w:r w:rsidRPr="00691C19">
        <w:rPr>
          <w:rFonts w:ascii="Tahoma" w:eastAsia="Times New Roman" w:hAnsi="Tahoma" w:cs="Tahoma"/>
          <w:color w:val="000000"/>
          <w:sz w:val="20"/>
          <w:szCs w:val="20"/>
          <w:lang w:eastAsia="ar-SA" w:bidi="it-IT"/>
        </w:rPr>
        <w:t xml:space="preserve"> in caso di aggiudicazione, alla stazione appaltante, nonché alle rappresentanze sindacali aziendali, alla consigliera e al consigliere regionale di parità;</w:t>
      </w:r>
    </w:p>
    <w:p w14:paraId="77DE91F2" w14:textId="4DFF0EAD" w:rsidR="00552F18" w:rsidRDefault="00552F18" w:rsidP="0004777B">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non essere incorsi, nei dodici mesi precedenti alla presentazione della domanda, nell’inadempimento dell’obbligo di produrre alla stazione appaltante di un precedente contratto d’appalto, finanziato in tutto o in parte con i fondi del PNRR o del PNC, la relazione di cui all’articolo 47, comma 3 del decreto legge n. 77 del 2021</w:t>
      </w:r>
      <w:r>
        <w:rPr>
          <w:rFonts w:ascii="Tahoma" w:eastAsia="Times New Roman" w:hAnsi="Tahoma" w:cs="Tahoma"/>
          <w:color w:val="000000"/>
          <w:sz w:val="20"/>
          <w:szCs w:val="20"/>
          <w:lang w:eastAsia="ar-SA" w:bidi="it-IT"/>
        </w:rPr>
        <w:t xml:space="preserve"> </w:t>
      </w:r>
      <w:r w:rsidRPr="00004FCE">
        <w:rPr>
          <w:rFonts w:ascii="Tahoma" w:eastAsia="Times New Roman" w:hAnsi="Tahoma" w:cs="Tahoma"/>
          <w:color w:val="000000"/>
          <w:sz w:val="20"/>
          <w:szCs w:val="20"/>
          <w:lang w:eastAsia="ar-SA" w:bidi="it-IT"/>
        </w:rPr>
        <w:t>(convertito con modificazioni nella Legge 29 luglio 2021, n.108)</w:t>
      </w:r>
      <w:r>
        <w:rPr>
          <w:rFonts w:ascii="Tahoma" w:eastAsia="Times New Roman" w:hAnsi="Tahoma" w:cs="Tahoma"/>
          <w:color w:val="000000"/>
          <w:sz w:val="20"/>
          <w:szCs w:val="20"/>
          <w:lang w:eastAsia="ar-SA" w:bidi="it-IT"/>
        </w:rPr>
        <w:t>;</w:t>
      </w:r>
    </w:p>
    <w:p w14:paraId="35D1A244" w14:textId="77777777" w:rsidR="00070189" w:rsidRDefault="00070189" w:rsidP="0007018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14:paraId="464ADEFF" w14:textId="77777777" w:rsidR="00070189" w:rsidRDefault="00070189" w:rsidP="00070189">
      <w:pPr>
        <w:suppressAutoHyphens/>
        <w:spacing w:before="119" w:after="62" w:line="240" w:lineRule="auto"/>
        <w:ind w:left="360"/>
        <w:jc w:val="center"/>
        <w:rPr>
          <w:rFonts w:ascii="Tahoma" w:eastAsia="Times New Roman" w:hAnsi="Tahoma" w:cs="Tahoma"/>
          <w:i/>
          <w:color w:val="000000"/>
        </w:rPr>
      </w:pPr>
      <w:r>
        <w:rPr>
          <w:rFonts w:ascii="Tahoma" w:eastAsia="Times New Roman" w:hAnsi="Tahoma" w:cs="Tahoma"/>
          <w:i/>
          <w:color w:val="000000"/>
        </w:rPr>
        <w:t>oppure</w:t>
      </w:r>
    </w:p>
    <w:p w14:paraId="4159C3BD" w14:textId="77777777" w:rsidR="00070189" w:rsidRPr="00064A2F" w:rsidRDefault="00070189" w:rsidP="00070189">
      <w:pPr>
        <w:numPr>
          <w:ilvl w:val="0"/>
          <w:numId w:val="2"/>
        </w:numPr>
        <w:suppressAutoHyphens/>
        <w:spacing w:before="119"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14:paraId="3091FADC" w14:textId="6938D730"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i/>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w:t>
      </w:r>
      <w:r w:rsidRPr="00691C19">
        <w:rPr>
          <w:rFonts w:ascii="Tahoma" w:eastAsia="Times New Roman" w:hAnsi="Tahoma" w:cs="Tahoma"/>
          <w:color w:val="000000"/>
          <w:sz w:val="20"/>
          <w:szCs w:val="20"/>
          <w:lang w:eastAsia="ar-SA" w:bidi="it-IT"/>
        </w:rPr>
        <w:t xml:space="preserve">) di impegnarsi, in caso di aggiudicazione, a consegnare alla stazione appaltante, entro 6 mesi dalla stipula del </w:t>
      </w:r>
      <w:r w:rsidRPr="003A76DD">
        <w:rPr>
          <w:rFonts w:ascii="Tahoma" w:eastAsia="Times New Roman" w:hAnsi="Tahoma" w:cs="Tahoma"/>
          <w:b/>
          <w:color w:val="000000"/>
          <w:sz w:val="20"/>
          <w:szCs w:val="20"/>
          <w:lang w:eastAsia="ar-SA" w:bidi="it-IT"/>
        </w:rPr>
        <w:t>contratto</w:t>
      </w:r>
      <w:r w:rsidR="003A76DD" w:rsidRPr="003A76DD">
        <w:rPr>
          <w:rFonts w:ascii="Tahoma" w:eastAsia="Times New Roman" w:hAnsi="Tahoma" w:cs="Tahoma"/>
          <w:b/>
          <w:color w:val="000000"/>
          <w:sz w:val="20"/>
          <w:szCs w:val="20"/>
          <w:lang w:eastAsia="ar-SA" w:bidi="it-IT"/>
        </w:rPr>
        <w:t xml:space="preserve"> relativo al LOTTO 1</w:t>
      </w:r>
      <w:r w:rsidRPr="00691C19">
        <w:rPr>
          <w:rFonts w:ascii="Tahoma" w:eastAsia="Times New Roman" w:hAnsi="Tahoma" w:cs="Tahoma"/>
          <w:color w:val="000000"/>
          <w:sz w:val="20"/>
          <w:szCs w:val="20"/>
          <w:lang w:eastAsia="ar-SA" w:bidi="it-IT"/>
        </w:rPr>
        <w:t>:</w:t>
      </w:r>
    </w:p>
    <w:p w14:paraId="6B518CD5" w14:textId="77777777" w:rsidR="00552F18" w:rsidRPr="00691C19" w:rsidRDefault="00552F18" w:rsidP="00552F18">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dichiarazione di cui all’articolo 17 della legge 12 marzo 1999, n. 68, che attesti di essere in regola con le norme che disciplinano il diritto al lavoro dei disabili;</w:t>
      </w:r>
    </w:p>
    <w:p w14:paraId="3294A916" w14:textId="77777777" w:rsidR="00552F18" w:rsidRPr="00691C19" w:rsidRDefault="00552F18" w:rsidP="0004777B">
      <w:pPr>
        <w:numPr>
          <w:ilvl w:val="0"/>
          <w:numId w:val="4"/>
        </w:numPr>
        <w:suppressAutoHyphens/>
        <w:spacing w:after="62" w:line="240" w:lineRule="auto"/>
        <w:ind w:left="1077" w:hanging="357"/>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CEF1702" w14:textId="1DF126FF" w:rsidR="00552F18" w:rsidRPr="004C5062"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4C5062">
        <w:rPr>
          <w:rFonts w:ascii="Tahoma" w:eastAsia="Times New Roman" w:hAnsi="Tahoma" w:cs="Tahoma"/>
          <w:color w:val="000000"/>
          <w:sz w:val="20"/>
          <w:szCs w:val="20"/>
          <w:lang w:eastAsia="ar-SA" w:bidi="it-IT"/>
        </w:rPr>
        <w:t>di non essere incorso nell’interdizione automatica per inadempimento dell’obbligo di consegnare alla stazione appaltante, entro sei mesi dalla conclusione del contratto, la relazione di genere di cui all’articolo 47, comma 3, del decreto legge n. 77/202</w:t>
      </w:r>
      <w:r w:rsidR="004E29C1" w:rsidRPr="004C5062">
        <w:rPr>
          <w:rFonts w:ascii="Tahoma" w:eastAsia="Times New Roman" w:hAnsi="Tahoma" w:cs="Tahoma"/>
          <w:color w:val="000000"/>
          <w:sz w:val="20"/>
          <w:szCs w:val="20"/>
          <w:lang w:eastAsia="ar-SA" w:bidi="it-IT"/>
        </w:rPr>
        <w:t>1</w:t>
      </w:r>
      <w:r w:rsidRPr="004C5062">
        <w:rPr>
          <w:rFonts w:ascii="Tahoma" w:eastAsia="Times New Roman" w:hAnsi="Tahoma" w:cs="Tahoma"/>
          <w:color w:val="000000"/>
          <w:sz w:val="20"/>
          <w:szCs w:val="20"/>
          <w:lang w:eastAsia="ar-SA" w:bidi="it-IT"/>
        </w:rPr>
        <w:t>;</w:t>
      </w:r>
    </w:p>
    <w:p w14:paraId="58EE5BB9" w14:textId="77777777" w:rsidR="004C5062" w:rsidRPr="004C5062" w:rsidRDefault="004C5062" w:rsidP="004C5062">
      <w:pPr>
        <w:pStyle w:val="Paragrafoelenco"/>
        <w:numPr>
          <w:ilvl w:val="0"/>
          <w:numId w:val="2"/>
        </w:numPr>
        <w:spacing w:before="120" w:after="120" w:line="240" w:lineRule="auto"/>
        <w:contextualSpacing w:val="0"/>
        <w:jc w:val="both"/>
        <w:rPr>
          <w:rFonts w:ascii="Tahoma" w:hAnsi="Tahoma" w:cs="Tahoma"/>
          <w:sz w:val="20"/>
          <w:szCs w:val="20"/>
        </w:rPr>
      </w:pPr>
      <w:r w:rsidRPr="004C5062">
        <w:rPr>
          <w:rFonts w:ascii="Tahoma" w:hAnsi="Tahoma" w:cs="Tahoma"/>
          <w:sz w:val="20"/>
          <w:szCs w:val="20"/>
        </w:rPr>
        <w:lastRenderedPageBreak/>
        <w:t xml:space="preserve">di aver preso visione e di accettare quanto previsto dalle </w:t>
      </w:r>
      <w:r w:rsidRPr="004C5062">
        <w:rPr>
          <w:rFonts w:ascii="Tahoma" w:hAnsi="Tahoma" w:cs="Tahoma"/>
          <w:b/>
          <w:sz w:val="20"/>
          <w:szCs w:val="20"/>
        </w:rPr>
        <w:t xml:space="preserve">relazioni DNSH allegate alla documentazione progettuale </w:t>
      </w:r>
      <w:r w:rsidRPr="004C5062">
        <w:rPr>
          <w:rFonts w:ascii="Tahoma" w:hAnsi="Tahoma" w:cs="Tahoma"/>
          <w:b/>
          <w:sz w:val="20"/>
          <w:szCs w:val="20"/>
          <w:u w:val="single"/>
        </w:rPr>
        <w:t>di entrambi i lotti</w:t>
      </w:r>
      <w:r w:rsidRPr="004C5062">
        <w:rPr>
          <w:rFonts w:ascii="Tahoma" w:hAnsi="Tahoma" w:cs="Tahoma"/>
          <w:b/>
          <w:sz w:val="20"/>
          <w:szCs w:val="20"/>
        </w:rPr>
        <w:t xml:space="preserve"> </w:t>
      </w:r>
      <w:r w:rsidRPr="004C5062">
        <w:rPr>
          <w:rFonts w:ascii="Tahoma" w:hAnsi="Tahoma" w:cs="Tahoma"/>
          <w:sz w:val="20"/>
          <w:szCs w:val="20"/>
        </w:rPr>
        <w:t>e di assumersi gli obblighi specifici relativi al PNRR relativamente al “</w:t>
      </w:r>
      <w:r w:rsidRPr="004C5062">
        <w:rPr>
          <w:rFonts w:ascii="Tahoma" w:hAnsi="Tahoma" w:cs="Tahoma"/>
          <w:b/>
          <w:sz w:val="20"/>
          <w:szCs w:val="20"/>
        </w:rPr>
        <w:t>non arrecare un danno significativo agli obiettivi ambientali” c.d. “Do No Significant Harm” (DNSH),</w:t>
      </w:r>
      <w:r w:rsidRPr="004C5062">
        <w:rPr>
          <w:rFonts w:ascii="Tahoma" w:hAnsi="Tahoma" w:cs="Tahoma"/>
          <w:sz w:val="20"/>
          <w:szCs w:val="20"/>
        </w:rPr>
        <w:t xml:space="preserve"> ai sensi dell’art. 17 del Regolamento UE 2020/852 del Parlamento Europeo e del Consiglio del 18 giugno 2020;</w:t>
      </w:r>
    </w:p>
    <w:p w14:paraId="305CD33F" w14:textId="77777777" w:rsidR="004C5062" w:rsidRPr="004C5062" w:rsidRDefault="004C5062" w:rsidP="004C5062">
      <w:pPr>
        <w:pStyle w:val="Paragrafoelenco"/>
        <w:numPr>
          <w:ilvl w:val="0"/>
          <w:numId w:val="2"/>
        </w:numPr>
        <w:spacing w:before="120" w:after="120" w:line="240" w:lineRule="auto"/>
        <w:contextualSpacing w:val="0"/>
        <w:jc w:val="both"/>
        <w:rPr>
          <w:rFonts w:ascii="Tahoma" w:hAnsi="Tahoma" w:cs="Tahoma"/>
          <w:sz w:val="20"/>
          <w:szCs w:val="20"/>
        </w:rPr>
      </w:pPr>
      <w:r w:rsidRPr="004C5062">
        <w:rPr>
          <w:rFonts w:ascii="Tahoma" w:hAnsi="Tahoma" w:cs="Tahoma"/>
          <w:sz w:val="20"/>
          <w:szCs w:val="20"/>
        </w:rPr>
        <w:t xml:space="preserve">di impegnarsi ad assicurare il rispetto delle condizionalità e di tutti gli ulteriori requisiti connessi alle misure PNRR, tra cui il contributo che il </w:t>
      </w:r>
      <w:r w:rsidRPr="004C5062">
        <w:rPr>
          <w:rFonts w:ascii="Tahoma" w:hAnsi="Tahoma" w:cs="Tahoma"/>
          <w:b/>
          <w:sz w:val="20"/>
          <w:szCs w:val="20"/>
          <w:u w:val="single"/>
        </w:rPr>
        <w:t>progetto di cui al lotto 1</w:t>
      </w:r>
      <w:r w:rsidRPr="004C5062">
        <w:rPr>
          <w:rFonts w:ascii="Tahoma" w:hAnsi="Tahoma" w:cs="Tahoma"/>
          <w:sz w:val="20"/>
          <w:szCs w:val="20"/>
        </w:rPr>
        <w:t xml:space="preserve"> deve assicurare per il conseguimento del target associato alla misura di riferimento e il contributo all’indicatore comune, dei principi della parità di genere (Gender Equality), di protezione e valorizzazione dei giovani, del tagging clima e digitale, del superamento dei divari territoriali, nonché del principio di non arrecare un danno significativo agli obiettivi ambientali ai sensi dell'art. 17 del Regolamento (UE) 2020/852;</w:t>
      </w:r>
    </w:p>
    <w:p w14:paraId="55DB8F39" w14:textId="4DF04D8A" w:rsidR="004C5062" w:rsidRPr="004C5062" w:rsidRDefault="004C5062" w:rsidP="004C5062">
      <w:pPr>
        <w:pStyle w:val="Paragrafoelenco"/>
        <w:numPr>
          <w:ilvl w:val="0"/>
          <w:numId w:val="2"/>
        </w:numPr>
        <w:spacing w:before="120" w:after="120" w:line="240" w:lineRule="auto"/>
        <w:contextualSpacing w:val="0"/>
        <w:jc w:val="both"/>
        <w:rPr>
          <w:rFonts w:ascii="Tahoma" w:hAnsi="Tahoma" w:cs="Tahoma"/>
          <w:sz w:val="20"/>
          <w:szCs w:val="20"/>
        </w:rPr>
      </w:pPr>
      <w:r w:rsidRPr="004C5062">
        <w:rPr>
          <w:rFonts w:ascii="Tahoma" w:hAnsi="Tahoma" w:cs="Tahoma"/>
          <w:bCs/>
          <w:color w:val="242424"/>
          <w:sz w:val="20"/>
          <w:szCs w:val="20"/>
          <w:bdr w:val="none" w:sz="0" w:space="0" w:color="auto" w:frame="1"/>
          <w:shd w:val="clear" w:color="auto" w:fill="FFFFFF"/>
        </w:rPr>
        <w:t xml:space="preserve">di aver preso visione e accettare quanto previsto dall’elaborato “H2- VERIFICA E ASSEVERAZIONE DEL RISPETTO DEL PRINCIPIO DNSH” relativamente agli obblighi posti a carico dei soggetti realizzatori quali soggetti </w:t>
      </w:r>
      <w:r w:rsidRPr="004C5062">
        <w:rPr>
          <w:rFonts w:ascii="Tahoma" w:eastAsiaTheme="minorHAnsi" w:hAnsi="Tahoma" w:cs="Tahoma"/>
          <w:sz w:val="20"/>
          <w:szCs w:val="20"/>
        </w:rPr>
        <w:t xml:space="preserve">responsabili della rendicontazione degli adempimenti in corso d’opera: </w:t>
      </w:r>
      <w:r w:rsidRPr="004C5062">
        <w:rPr>
          <w:rFonts w:ascii="Tahoma" w:eastAsiaTheme="minorHAnsi" w:hAnsi="Tahoma" w:cs="Tahoma"/>
          <w:b/>
          <w:sz w:val="20"/>
          <w:szCs w:val="20"/>
        </w:rPr>
        <w:t>1)</w:t>
      </w:r>
      <w:r w:rsidRPr="004C5062">
        <w:rPr>
          <w:rFonts w:ascii="Tahoma" w:eastAsiaTheme="minorHAnsi" w:hAnsi="Tahoma" w:cs="Tahoma"/>
          <w:sz w:val="20"/>
          <w:szCs w:val="20"/>
        </w:rPr>
        <w:t xml:space="preserve">  in occasione dello Stato avanzamento lavori (SAL), dovranno produrre una sintetica relazione che indichi le misure adottate – relativamente alle lavorazioni eseguite per la corrispondente fase di esecuzione dell’opera – al fine di adempiere ai vincoli DNSH; tali dati dovranno essere validati da parte dei Soggetti attuatori mediante l’utilizzo di apposite checklist. 2) Deve consegnare un Rapporto finale redatto da un auditor esterno, salvo diverse precisazioni da parte dei Ministeri competenti, che conterrà i contenuti delle relazioni intermedie e, secondo quanto previsto dal CID (Council Implementing Decision - CID), condizionerà il conseguimento dei relativi target. Il Rapporto dovrà essere fornito dal Soggetto realizzatore</w:t>
      </w:r>
      <w:r w:rsidRPr="004C5062">
        <w:rPr>
          <w:rFonts w:ascii="Tahoma" w:eastAsiaTheme="minorHAnsi" w:hAnsi="Tahoma" w:cs="Tahoma"/>
          <w:sz w:val="20"/>
          <w:szCs w:val="20"/>
          <w:u w:val="single"/>
        </w:rPr>
        <w:t>, con costi a proprio carico,</w:t>
      </w:r>
      <w:r w:rsidRPr="004C5062">
        <w:rPr>
          <w:rFonts w:ascii="Tahoma" w:eastAsiaTheme="minorHAnsi" w:hAnsi="Tahoma" w:cs="Tahoma"/>
          <w:sz w:val="20"/>
          <w:szCs w:val="20"/>
        </w:rPr>
        <w:t xml:space="preserve"> all’Amministrazione centrale tramite il Soggetto attuatore, al fine di certificare il rispetto degli obiettivi, considerando gli elementi che per tutta la durata dell’appalto sono stati effettivamente implementati. </w:t>
      </w:r>
    </w:p>
    <w:p w14:paraId="70025BB2" w14:textId="75CB310D" w:rsidR="008A2891" w:rsidRPr="004C5062" w:rsidRDefault="008A2891" w:rsidP="008A2891">
      <w:pPr>
        <w:pStyle w:val="Paragrafoelenco"/>
        <w:numPr>
          <w:ilvl w:val="0"/>
          <w:numId w:val="2"/>
        </w:numPr>
        <w:spacing w:before="118" w:after="120" w:line="240" w:lineRule="auto"/>
        <w:contextualSpacing w:val="0"/>
        <w:jc w:val="both"/>
        <w:rPr>
          <w:rFonts w:ascii="Tahoma" w:hAnsi="Tahoma" w:cs="Tahoma"/>
          <w:sz w:val="20"/>
          <w:szCs w:val="20"/>
        </w:rPr>
      </w:pPr>
      <w:r w:rsidRPr="004C5062">
        <w:rPr>
          <w:rFonts w:ascii="Tahoma" w:hAnsi="Tahoma" w:cs="Tahoma"/>
          <w:sz w:val="20"/>
          <w:szCs w:val="20"/>
        </w:rPr>
        <w:t>di essere consapevole che in caso di aggiudicazione</w:t>
      </w:r>
      <w:r w:rsidR="004C5062" w:rsidRPr="004C5062">
        <w:rPr>
          <w:rFonts w:ascii="Tahoma" w:hAnsi="Tahoma" w:cs="Tahoma"/>
          <w:sz w:val="20"/>
          <w:szCs w:val="20"/>
        </w:rPr>
        <w:t xml:space="preserve">, </w:t>
      </w:r>
      <w:r w:rsidR="004C5062" w:rsidRPr="004C5062">
        <w:rPr>
          <w:rFonts w:ascii="Tahoma" w:hAnsi="Tahoma" w:cs="Tahoma"/>
          <w:b/>
          <w:sz w:val="20"/>
          <w:szCs w:val="20"/>
        </w:rPr>
        <w:t>relativamente</w:t>
      </w:r>
      <w:r w:rsidR="004C5062" w:rsidRPr="004C5062">
        <w:rPr>
          <w:rFonts w:ascii="Tahoma" w:hAnsi="Tahoma" w:cs="Tahoma"/>
          <w:sz w:val="20"/>
          <w:szCs w:val="20"/>
        </w:rPr>
        <w:t xml:space="preserve"> </w:t>
      </w:r>
      <w:r w:rsidR="004C5062" w:rsidRPr="004C5062">
        <w:rPr>
          <w:rFonts w:ascii="Tahoma" w:hAnsi="Tahoma" w:cs="Tahoma"/>
          <w:b/>
          <w:sz w:val="20"/>
          <w:szCs w:val="20"/>
        </w:rPr>
        <w:t>all’intervento di cui al LOTTO 1</w:t>
      </w:r>
      <w:r w:rsidR="004C5062" w:rsidRPr="004C5062">
        <w:rPr>
          <w:rFonts w:ascii="Tahoma" w:hAnsi="Tahoma" w:cs="Tahoma"/>
          <w:sz w:val="20"/>
          <w:szCs w:val="20"/>
        </w:rPr>
        <w:t>,</w:t>
      </w:r>
      <w:r w:rsidRPr="004C5062">
        <w:rPr>
          <w:rFonts w:ascii="Tahoma" w:hAnsi="Tahoma" w:cs="Tahoma"/>
          <w:sz w:val="20"/>
          <w:szCs w:val="20"/>
        </w:rPr>
        <w:t xml:space="preserve"> l’operatore dovrà collaborare con l’Amministrazione per fornire la documentazione tecnico/progettuale necessaria, per il rispetto dei </w:t>
      </w:r>
      <w:r w:rsidRPr="004C5062">
        <w:rPr>
          <w:rFonts w:ascii="Tahoma" w:hAnsi="Tahoma" w:cs="Tahoma"/>
          <w:i/>
          <w:iCs/>
          <w:sz w:val="20"/>
          <w:szCs w:val="20"/>
        </w:rPr>
        <w:t xml:space="preserve">target </w:t>
      </w:r>
      <w:r w:rsidRPr="004C5062">
        <w:rPr>
          <w:rFonts w:ascii="Tahoma" w:hAnsi="Tahoma" w:cs="Tahoma"/>
          <w:sz w:val="20"/>
          <w:szCs w:val="20"/>
        </w:rPr>
        <w:t>e delle tempistiche previsti per la gestione, il monitoraggio, la rendicontazione e il controllo, tra cui il rispetto del principio di non arrecare danno significativo all’ambiente (DNSH) disposto dall’art. 17 del Regolamento UE 2020/852 e il raggiungimento degli obiettivi climatici e digitali previsti per l’investimento di competenza;</w:t>
      </w:r>
    </w:p>
    <w:p w14:paraId="2584A2FE" w14:textId="1E49441F" w:rsidR="008A2891" w:rsidRPr="001F73F1" w:rsidRDefault="008A2891" w:rsidP="008A2891">
      <w:pPr>
        <w:pStyle w:val="Paragrafoelenco"/>
        <w:numPr>
          <w:ilvl w:val="0"/>
          <w:numId w:val="2"/>
        </w:numPr>
        <w:spacing w:line="259" w:lineRule="auto"/>
        <w:jc w:val="both"/>
        <w:rPr>
          <w:rFonts w:ascii="Tahoma" w:eastAsia="Times New Roman" w:hAnsi="Tahoma" w:cs="Tahoma"/>
          <w:color w:val="000000"/>
          <w:sz w:val="20"/>
          <w:szCs w:val="20"/>
          <w:lang w:eastAsia="ar-SA" w:bidi="it-IT"/>
        </w:rPr>
      </w:pPr>
      <w:r w:rsidRPr="00C94CD6">
        <w:rPr>
          <w:rFonts w:ascii="Tahoma" w:eastAsia="Times New Roman" w:hAnsi="Tahoma" w:cs="Tahoma"/>
          <w:color w:val="000000"/>
          <w:sz w:val="20"/>
          <w:szCs w:val="20"/>
          <w:lang w:eastAsia="ar-SA" w:bidi="it-IT"/>
        </w:rPr>
        <w:t>di rispettare le specifiche tecniche e le clausole contrattuali contenute nei Criteri Ambientali Minimi (CAM) di cui al Decreto del Ministero della Transizione Ecologica del 23 giugno 2022 n. 256 “Criteri ambientali minimi per l’affidamento di servizi di progettazione di interventi edilizi, per l’affidamento dei lavori per interventi edilizi e per l'affidamento congiunto di progettazione e lavori per interventi edilizi e di rispettare le specifiche tecniche e le clausole contrattuali contenute ne</w:t>
      </w:r>
      <w:r w:rsidR="004C5062">
        <w:rPr>
          <w:rFonts w:ascii="Tahoma" w:eastAsia="Times New Roman" w:hAnsi="Tahoma" w:cs="Tahoma"/>
          <w:color w:val="000000"/>
          <w:sz w:val="20"/>
          <w:szCs w:val="20"/>
          <w:lang w:eastAsia="ar-SA" w:bidi="it-IT"/>
        </w:rPr>
        <w:t>lle</w:t>
      </w:r>
      <w:r w:rsidRPr="00C94CD6">
        <w:rPr>
          <w:rFonts w:ascii="Tahoma" w:eastAsia="Times New Roman" w:hAnsi="Tahoma" w:cs="Tahoma"/>
          <w:color w:val="000000"/>
          <w:sz w:val="20"/>
          <w:szCs w:val="20"/>
          <w:lang w:eastAsia="ar-SA" w:bidi="it-IT"/>
        </w:rPr>
        <w:t xml:space="preserve"> </w:t>
      </w:r>
      <w:r w:rsidR="004C5062">
        <w:rPr>
          <w:rFonts w:ascii="Tahoma" w:eastAsia="Times New Roman" w:hAnsi="Tahoma" w:cs="Tahoma"/>
          <w:color w:val="000000"/>
          <w:sz w:val="20"/>
          <w:szCs w:val="20"/>
          <w:lang w:eastAsia="ar-SA" w:bidi="it-IT"/>
        </w:rPr>
        <w:t xml:space="preserve">relative </w:t>
      </w:r>
      <w:r w:rsidRPr="00C94CD6">
        <w:rPr>
          <w:rFonts w:ascii="Tahoma" w:eastAsia="Times New Roman" w:hAnsi="Tahoma" w:cs="Tahoma"/>
          <w:color w:val="000000"/>
          <w:sz w:val="20"/>
          <w:szCs w:val="20"/>
          <w:lang w:eastAsia="ar-SA" w:bidi="it-IT"/>
        </w:rPr>
        <w:t>relazion</w:t>
      </w:r>
      <w:r w:rsidR="004C5062">
        <w:rPr>
          <w:rFonts w:ascii="Tahoma" w:eastAsia="Times New Roman" w:hAnsi="Tahoma" w:cs="Tahoma"/>
          <w:color w:val="000000"/>
          <w:sz w:val="20"/>
          <w:szCs w:val="20"/>
          <w:lang w:eastAsia="ar-SA" w:bidi="it-IT"/>
        </w:rPr>
        <w:t>i allegate</w:t>
      </w:r>
      <w:r w:rsidRPr="00C94CD6">
        <w:rPr>
          <w:rFonts w:ascii="Tahoma" w:eastAsia="Times New Roman" w:hAnsi="Tahoma" w:cs="Tahoma"/>
          <w:color w:val="000000"/>
          <w:sz w:val="20"/>
          <w:szCs w:val="20"/>
          <w:lang w:eastAsia="ar-SA" w:bidi="it-IT"/>
        </w:rPr>
        <w:t xml:space="preserve"> alla documentazione progettuale.</w:t>
      </w:r>
    </w:p>
    <w:p w14:paraId="6C6DB054" w14:textId="77777777" w:rsidR="008A2891" w:rsidRPr="009C5A96" w:rsidRDefault="008A2891" w:rsidP="008A2891">
      <w:pPr>
        <w:pStyle w:val="Paragrafoelenco"/>
        <w:numPr>
          <w:ilvl w:val="0"/>
          <w:numId w:val="2"/>
        </w:numPr>
        <w:spacing w:before="118" w:after="120" w:line="240" w:lineRule="auto"/>
        <w:contextualSpacing w:val="0"/>
        <w:jc w:val="both"/>
        <w:rPr>
          <w:rFonts w:ascii="Tahoma" w:hAnsi="Tahoma" w:cs="Tahoma"/>
          <w:sz w:val="20"/>
          <w:szCs w:val="20"/>
        </w:rPr>
      </w:pPr>
      <w:r w:rsidRPr="009C5A96">
        <w:rPr>
          <w:rFonts w:ascii="Tahoma" w:hAnsi="Tahoma" w:cs="Tahoma"/>
          <w:sz w:val="20"/>
          <w:szCs w:val="20"/>
        </w:rPr>
        <w:t xml:space="preserve">di impegnarsi a presentare quanto richiesto in ordine al criterio 3.1.1 </w:t>
      </w:r>
      <w:bookmarkStart w:id="2" w:name="_Hlk108442830"/>
      <w:r w:rsidRPr="009C5A96">
        <w:rPr>
          <w:rFonts w:ascii="Tahoma" w:hAnsi="Tahoma" w:cs="Tahoma"/>
          <w:sz w:val="20"/>
          <w:szCs w:val="20"/>
        </w:rPr>
        <w:t>«Personale di cantiere»</w:t>
      </w:r>
      <w:bookmarkEnd w:id="2"/>
      <w:r>
        <w:rPr>
          <w:rFonts w:ascii="Tahoma" w:hAnsi="Tahoma" w:cs="Tahoma"/>
          <w:sz w:val="20"/>
          <w:szCs w:val="20"/>
        </w:rPr>
        <w:t xml:space="preserve"> dell’allegato </w:t>
      </w:r>
      <w:r w:rsidRPr="009C5A96">
        <w:rPr>
          <w:rFonts w:ascii="Tahoma" w:hAnsi="Tahoma" w:cs="Tahoma"/>
          <w:sz w:val="20"/>
          <w:szCs w:val="20"/>
        </w:rPr>
        <w:t>al Decreto Ministeriale MTE 23 giugno 2022 – recante “Criteri ambientali minimi per l'affidamento del servizio di progettazione di interventi edilizi, per l'affidamento dei lavori per interventi edilizi e per l'affidamento congiunto di progettazione e lavori per interventi edilizi</w:t>
      </w:r>
      <w:r>
        <w:rPr>
          <w:rFonts w:ascii="Tahoma" w:hAnsi="Tahoma" w:cs="Tahoma"/>
          <w:sz w:val="20"/>
          <w:szCs w:val="20"/>
        </w:rPr>
        <w:t>”;</w:t>
      </w:r>
    </w:p>
    <w:p w14:paraId="47128059" w14:textId="77777777" w:rsidR="008A2891" w:rsidRPr="001F73F1" w:rsidRDefault="008A2891" w:rsidP="008A2891">
      <w:pPr>
        <w:pStyle w:val="Paragrafoelenco"/>
        <w:numPr>
          <w:ilvl w:val="0"/>
          <w:numId w:val="2"/>
        </w:numPr>
        <w:spacing w:before="118" w:after="120" w:line="240" w:lineRule="auto"/>
        <w:contextualSpacing w:val="0"/>
        <w:jc w:val="both"/>
        <w:rPr>
          <w:rFonts w:ascii="Tahoma" w:hAnsi="Tahoma" w:cs="Tahoma"/>
          <w:sz w:val="20"/>
          <w:szCs w:val="20"/>
        </w:rPr>
      </w:pPr>
      <w:r w:rsidRPr="009C5A96">
        <w:rPr>
          <w:rFonts w:ascii="Tahoma" w:hAnsi="Tahoma" w:cs="Tahoma"/>
          <w:sz w:val="20"/>
          <w:szCs w:val="20"/>
        </w:rPr>
        <w:t>di impegnarsi a presentare quanto richiesto in ordine al criterio 3.1.2 «Macchine operatrici»</w:t>
      </w:r>
      <w:r>
        <w:rPr>
          <w:rFonts w:ascii="Tahoma" w:hAnsi="Tahoma" w:cs="Tahoma"/>
          <w:sz w:val="20"/>
          <w:szCs w:val="20"/>
        </w:rPr>
        <w:t xml:space="preserve"> dell’allegato</w:t>
      </w:r>
      <w:r w:rsidRPr="009C5A96">
        <w:rPr>
          <w:rFonts w:ascii="Tahoma" w:hAnsi="Tahoma" w:cs="Tahoma"/>
          <w:sz w:val="20"/>
          <w:szCs w:val="20"/>
        </w:rPr>
        <w:t xml:space="preserve"> al Decreto Ministeriale MTE 23 giugno 2022 – recante “Criteri ambientali minimi per l'affidamento del servizio di progettazione di interventi edilizi, per l'affidamento dei lavori per interventi edilizi e per l'affidamento congiunto di progettazione e lavori per interventi edilizi</w:t>
      </w:r>
      <w:r>
        <w:rPr>
          <w:rFonts w:ascii="Tahoma" w:hAnsi="Tahoma" w:cs="Tahoma"/>
          <w:sz w:val="20"/>
          <w:szCs w:val="20"/>
        </w:rPr>
        <w:t>”</w:t>
      </w:r>
      <w:r w:rsidRPr="009C5A96">
        <w:rPr>
          <w:rFonts w:ascii="Tahoma" w:hAnsi="Tahoma" w:cs="Tahoma"/>
          <w:sz w:val="20"/>
          <w:szCs w:val="20"/>
        </w:rPr>
        <w:t>;</w:t>
      </w:r>
    </w:p>
    <w:p w14:paraId="2BD2BDA9" w14:textId="77777777" w:rsidR="008A2891" w:rsidRPr="001F73F1" w:rsidRDefault="008A2891" w:rsidP="008A2891">
      <w:pPr>
        <w:pStyle w:val="Paragrafoelenco"/>
        <w:numPr>
          <w:ilvl w:val="0"/>
          <w:numId w:val="2"/>
        </w:numPr>
        <w:spacing w:before="118" w:after="120" w:line="240" w:lineRule="auto"/>
        <w:contextualSpacing w:val="0"/>
        <w:jc w:val="both"/>
        <w:rPr>
          <w:rFonts w:ascii="Tahoma" w:hAnsi="Tahoma" w:cs="Tahoma"/>
          <w:sz w:val="20"/>
          <w:szCs w:val="20"/>
        </w:rPr>
      </w:pPr>
      <w:r w:rsidRPr="009C5A96">
        <w:rPr>
          <w:rFonts w:ascii="Tahoma" w:hAnsi="Tahoma" w:cs="Tahoma"/>
          <w:sz w:val="20"/>
          <w:szCs w:val="20"/>
        </w:rPr>
        <w:t xml:space="preserve">di impegnarsi a presentare quanto richiesto in ordine al criterio 3.1.3.2 </w:t>
      </w:r>
      <w:bookmarkStart w:id="3" w:name="_Hlk108442769"/>
      <w:r w:rsidRPr="009C5A96">
        <w:rPr>
          <w:rFonts w:ascii="Tahoma" w:hAnsi="Tahoma" w:cs="Tahoma"/>
          <w:sz w:val="20"/>
          <w:szCs w:val="20"/>
        </w:rPr>
        <w:t>«Grassi ed oli biodegradabili»</w:t>
      </w:r>
      <w:bookmarkEnd w:id="3"/>
      <w:r>
        <w:rPr>
          <w:rFonts w:ascii="Tahoma" w:hAnsi="Tahoma" w:cs="Tahoma"/>
          <w:sz w:val="20"/>
          <w:szCs w:val="20"/>
        </w:rPr>
        <w:t xml:space="preserve"> dell’allegato</w:t>
      </w:r>
      <w:r w:rsidRPr="009C5A96">
        <w:rPr>
          <w:rFonts w:ascii="Tahoma" w:hAnsi="Tahoma" w:cs="Tahoma"/>
          <w:sz w:val="20"/>
          <w:szCs w:val="20"/>
        </w:rPr>
        <w:t xml:space="preserve"> al Decreto Ministeriale MTE 23 giugno 2022 – recante “Criteri ambientali minimi per l'affidamento del servizio di progettazione di interventi edilizi, per l'affidamento dei lavori per interventi edilizi e per l'affidamento congiunto di progettazione e lavori per interventi edilizi</w:t>
      </w:r>
      <w:r>
        <w:rPr>
          <w:rFonts w:ascii="Tahoma" w:hAnsi="Tahoma" w:cs="Tahoma"/>
          <w:sz w:val="20"/>
          <w:szCs w:val="20"/>
        </w:rPr>
        <w:t>”</w:t>
      </w:r>
      <w:r w:rsidRPr="009C5A96">
        <w:rPr>
          <w:rFonts w:ascii="Tahoma" w:hAnsi="Tahoma" w:cs="Tahoma"/>
          <w:sz w:val="20"/>
          <w:szCs w:val="20"/>
        </w:rPr>
        <w:t>;</w:t>
      </w:r>
    </w:p>
    <w:p w14:paraId="4EC2C261" w14:textId="77777777" w:rsidR="008A2891" w:rsidRPr="001F73F1" w:rsidRDefault="008A2891" w:rsidP="008A2891">
      <w:pPr>
        <w:pStyle w:val="Paragrafoelenco"/>
        <w:numPr>
          <w:ilvl w:val="0"/>
          <w:numId w:val="2"/>
        </w:numPr>
        <w:spacing w:before="118" w:after="120" w:line="240" w:lineRule="auto"/>
        <w:contextualSpacing w:val="0"/>
        <w:jc w:val="both"/>
        <w:rPr>
          <w:rFonts w:ascii="Tahoma" w:hAnsi="Tahoma" w:cs="Tahoma"/>
          <w:sz w:val="20"/>
          <w:szCs w:val="20"/>
        </w:rPr>
      </w:pPr>
      <w:r w:rsidRPr="009C5A96">
        <w:rPr>
          <w:rFonts w:ascii="Tahoma" w:hAnsi="Tahoma" w:cs="Tahoma"/>
          <w:sz w:val="20"/>
          <w:szCs w:val="20"/>
        </w:rPr>
        <w:t>di impegnarsi a presentare quanto richiesto in ordine al criterio 3.1.3.3 «Grassi ed oli lubrificanti minerali a base rigenerata»</w:t>
      </w:r>
      <w:r>
        <w:rPr>
          <w:rFonts w:ascii="Tahoma" w:hAnsi="Tahoma" w:cs="Tahoma"/>
          <w:sz w:val="20"/>
          <w:szCs w:val="20"/>
        </w:rPr>
        <w:t xml:space="preserve"> dell’allegato</w:t>
      </w:r>
      <w:r w:rsidRPr="009C5A96">
        <w:rPr>
          <w:rFonts w:ascii="Tahoma" w:hAnsi="Tahoma" w:cs="Tahoma"/>
          <w:sz w:val="20"/>
          <w:szCs w:val="20"/>
        </w:rPr>
        <w:t xml:space="preserve"> al Decreto Ministeriale MTE 23 giugno 2022 – recante “Criteri ambientali minimi per l'affidamento del servizio di progettazione di interventi edilizi, per l'affidamento dei lavori per interventi edilizi e per l'affidamento congiunto di progettazione e lavori per interventi edilizi</w:t>
      </w:r>
      <w:r>
        <w:rPr>
          <w:rFonts w:ascii="Tahoma" w:hAnsi="Tahoma" w:cs="Tahoma"/>
          <w:sz w:val="20"/>
          <w:szCs w:val="20"/>
        </w:rPr>
        <w:t>”</w:t>
      </w:r>
      <w:r w:rsidRPr="009C5A96">
        <w:rPr>
          <w:rFonts w:ascii="Tahoma" w:hAnsi="Tahoma" w:cs="Tahoma"/>
          <w:sz w:val="20"/>
          <w:szCs w:val="20"/>
        </w:rPr>
        <w:t>;</w:t>
      </w:r>
    </w:p>
    <w:p w14:paraId="20A7CFBE" w14:textId="77777777" w:rsidR="008A2891" w:rsidRPr="009C5A96" w:rsidRDefault="008A2891" w:rsidP="008A2891">
      <w:pPr>
        <w:pStyle w:val="Paragrafoelenco"/>
        <w:numPr>
          <w:ilvl w:val="0"/>
          <w:numId w:val="2"/>
        </w:numPr>
        <w:spacing w:before="118" w:after="120" w:line="240" w:lineRule="auto"/>
        <w:contextualSpacing w:val="0"/>
        <w:jc w:val="both"/>
        <w:rPr>
          <w:rFonts w:ascii="Tahoma" w:hAnsi="Tahoma" w:cs="Tahoma"/>
          <w:sz w:val="20"/>
          <w:szCs w:val="20"/>
        </w:rPr>
      </w:pPr>
      <w:r w:rsidRPr="009C5A96">
        <w:rPr>
          <w:rFonts w:ascii="Tahoma" w:hAnsi="Tahoma" w:cs="Tahoma"/>
          <w:sz w:val="20"/>
          <w:szCs w:val="20"/>
        </w:rPr>
        <w:lastRenderedPageBreak/>
        <w:t>di impegnarsi a presentare quanto richiesto in ordine al criterio 3.1.3.4 «Requisiti degli imballaggi in plastica degli oli lubrificanti (biodegradabili o a base rigenerata)»</w:t>
      </w:r>
      <w:r>
        <w:rPr>
          <w:rFonts w:ascii="Tahoma" w:hAnsi="Tahoma" w:cs="Tahoma"/>
          <w:sz w:val="20"/>
          <w:szCs w:val="20"/>
        </w:rPr>
        <w:t xml:space="preserve"> dell’allegato</w:t>
      </w:r>
      <w:r w:rsidRPr="009C5A96">
        <w:rPr>
          <w:rFonts w:ascii="Tahoma" w:hAnsi="Tahoma" w:cs="Tahoma"/>
          <w:sz w:val="20"/>
          <w:szCs w:val="20"/>
        </w:rPr>
        <w:t xml:space="preserve"> al Decreto Ministeriale MTE 23 giugno 2022 – recante “Criteri ambientali minimi per l'affidamento del servizio di progettazione di interventi edilizi, per l'affidamento dei lavori per interventi edilizi e per l'affidamento congiunto di progettazione e lavori per interventi ediliz</w:t>
      </w:r>
      <w:r>
        <w:rPr>
          <w:rFonts w:ascii="Tahoma" w:hAnsi="Tahoma" w:cs="Tahoma"/>
          <w:sz w:val="20"/>
          <w:szCs w:val="20"/>
        </w:rPr>
        <w:t>i”</w:t>
      </w:r>
      <w:r w:rsidRPr="009C5A96">
        <w:rPr>
          <w:rFonts w:ascii="Tahoma" w:hAnsi="Tahoma" w:cs="Tahoma"/>
          <w:sz w:val="20"/>
          <w:szCs w:val="20"/>
        </w:rPr>
        <w:t>;</w:t>
      </w:r>
    </w:p>
    <w:p w14:paraId="573EB383" w14:textId="77777777" w:rsidR="00552F18"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w:t>
      </w:r>
      <w:r w:rsidRPr="003C6F5F">
        <w:rPr>
          <w:rFonts w:ascii="Tahoma" w:hAnsi="Tahoma" w:cs="Tahoma"/>
          <w:sz w:val="20"/>
          <w:szCs w:val="20"/>
        </w:rPr>
        <w:t xml:space="preserve"> l’offerta è vincolante per </w:t>
      </w:r>
      <w:r w:rsidRPr="003C6F5F">
        <w:rPr>
          <w:rFonts w:ascii="Tahoma" w:eastAsia="Times New Roman" w:hAnsi="Tahoma" w:cs="Tahoma"/>
          <w:color w:val="000000"/>
          <w:szCs w:val="20"/>
        </w:rPr>
        <w:t xml:space="preserve">180 </w:t>
      </w:r>
      <w:r w:rsidRPr="003C6F5F">
        <w:rPr>
          <w:rFonts w:ascii="Tahoma" w:eastAsia="Times New Roman" w:hAnsi="Tahoma" w:cs="Tahoma"/>
          <w:color w:val="000000"/>
          <w:sz w:val="20"/>
          <w:szCs w:val="20"/>
        </w:rPr>
        <w:t>giorni dal termine ultimo per la presentazione delle offerte;</w:t>
      </w:r>
    </w:p>
    <w:p w14:paraId="1B798A39" w14:textId="14647F8E" w:rsidR="00552F18" w:rsidRPr="00580372"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 in caso di aggiudicazione, la stipulazione d</w:t>
      </w:r>
      <w:r w:rsidR="0086608D">
        <w:rPr>
          <w:rFonts w:ascii="Tahoma" w:eastAsia="Times New Roman" w:hAnsi="Tahoma" w:cs="Tahoma"/>
          <w:color w:val="000000"/>
          <w:sz w:val="20"/>
          <w:szCs w:val="20"/>
        </w:rPr>
        <w:t>ei</w:t>
      </w:r>
      <w:r w:rsidRPr="003C6F5F">
        <w:rPr>
          <w:rFonts w:ascii="Tahoma" w:eastAsia="Times New Roman" w:hAnsi="Tahoma" w:cs="Tahoma"/>
          <w:color w:val="000000"/>
          <w:sz w:val="20"/>
          <w:szCs w:val="20"/>
        </w:rPr>
        <w:t xml:space="preserve"> contratt</w:t>
      </w:r>
      <w:r w:rsidR="0086608D">
        <w:rPr>
          <w:rFonts w:ascii="Tahoma" w:eastAsia="Times New Roman" w:hAnsi="Tahoma" w:cs="Tahoma"/>
          <w:color w:val="000000"/>
          <w:sz w:val="20"/>
          <w:szCs w:val="20"/>
        </w:rPr>
        <w:t>i</w:t>
      </w:r>
      <w:r w:rsidRPr="003C6F5F">
        <w:rPr>
          <w:rFonts w:ascii="Tahoma" w:eastAsia="Times New Roman" w:hAnsi="Tahoma" w:cs="Tahoma"/>
          <w:color w:val="000000"/>
          <w:sz w:val="20"/>
          <w:szCs w:val="20"/>
        </w:rPr>
        <w:t xml:space="preserve"> di appalto avr</w:t>
      </w:r>
      <w:r w:rsidR="0086608D">
        <w:rPr>
          <w:rFonts w:ascii="Tahoma" w:eastAsia="Times New Roman" w:hAnsi="Tahoma" w:cs="Tahoma"/>
          <w:color w:val="000000"/>
          <w:sz w:val="20"/>
          <w:szCs w:val="20"/>
        </w:rPr>
        <w:t>anno</w:t>
      </w:r>
      <w:r w:rsidRPr="003C6F5F">
        <w:rPr>
          <w:rFonts w:ascii="Tahoma" w:eastAsia="Times New Roman" w:hAnsi="Tahoma" w:cs="Tahoma"/>
          <w:color w:val="000000"/>
          <w:sz w:val="20"/>
          <w:szCs w:val="20"/>
        </w:rPr>
        <w:t xml:space="preserve"> luogo entro i</w:t>
      </w:r>
      <w:r>
        <w:rPr>
          <w:rFonts w:ascii="Tahoma" w:eastAsia="Times New Roman" w:hAnsi="Tahoma" w:cs="Tahoma"/>
          <w:color w:val="000000"/>
          <w:sz w:val="20"/>
          <w:szCs w:val="20"/>
        </w:rPr>
        <w:t xml:space="preserve"> 60</w:t>
      </w:r>
      <w:r w:rsidRPr="003C6F5F">
        <w:rPr>
          <w:rFonts w:ascii="Tahoma" w:eastAsia="Times New Roman" w:hAnsi="Tahoma" w:cs="Tahoma"/>
          <w:color w:val="000000"/>
          <w:szCs w:val="20"/>
        </w:rPr>
        <w:t xml:space="preserve"> </w:t>
      </w:r>
      <w:r w:rsidRPr="003C6F5F">
        <w:rPr>
          <w:rFonts w:ascii="Tahoma" w:eastAsia="Times New Roman" w:hAnsi="Tahoma" w:cs="Tahoma"/>
          <w:color w:val="000000"/>
          <w:sz w:val="20"/>
          <w:szCs w:val="20"/>
        </w:rPr>
        <w:t>giorni successivi alla dichiarazione di efficacia dell’aggiudicazione, ai sensi dell’art. 32, comma 8, del Codice dei contratti pubblici;</w:t>
      </w:r>
    </w:p>
    <w:p w14:paraId="20B87A2F" w14:textId="77777777" w:rsidR="00552F18" w:rsidRPr="0088185E"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0C5F71">
        <w:rPr>
          <w:rFonts w:ascii="Tahoma" w:hAnsi="Tahoma" w:cs="Tahoma"/>
          <w:sz w:val="20"/>
          <w:szCs w:val="20"/>
        </w:rPr>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presente procedimento e nei confronti dell</w:t>
      </w:r>
      <w:r>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Pr>
          <w:rFonts w:ascii="Tahoma" w:hAnsi="Tahoma" w:cs="Tahoma"/>
          <w:sz w:val="20"/>
          <w:szCs w:val="20"/>
        </w:rPr>
        <w:t>;</w:t>
      </w:r>
    </w:p>
    <w:p w14:paraId="30EAE616" w14:textId="77777777" w:rsidR="00824392" w:rsidRDefault="00552F18" w:rsidP="00824392">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78198AE0" w14:textId="1F1ABFBB" w:rsidR="00552F18" w:rsidRPr="00251BC4" w:rsidRDefault="00552F18" w:rsidP="00824392">
      <w:pPr>
        <w:numPr>
          <w:ilvl w:val="0"/>
          <w:numId w:val="2"/>
        </w:numPr>
        <w:suppressAutoHyphens/>
        <w:spacing w:before="119" w:after="120" w:line="240" w:lineRule="auto"/>
        <w:ind w:left="357"/>
        <w:jc w:val="both"/>
        <w:rPr>
          <w:rFonts w:ascii="Tahoma" w:eastAsia="Times New Roman" w:hAnsi="Tahoma" w:cs="Tahoma"/>
          <w:color w:val="000000"/>
          <w:sz w:val="20"/>
          <w:szCs w:val="20"/>
          <w:lang w:eastAsia="ar-SA" w:bidi="it-IT"/>
        </w:rPr>
      </w:pPr>
      <w:r w:rsidRPr="00251BC4">
        <w:rPr>
          <w:rFonts w:ascii="Tahoma" w:eastAsia="Times New Roman" w:hAnsi="Tahoma" w:cs="Tahoma"/>
          <w:color w:val="000000"/>
          <w:sz w:val="20"/>
          <w:szCs w:val="20"/>
          <w:lang w:eastAsia="ar-SA" w:bidi="it-IT"/>
        </w:rPr>
        <w:t xml:space="preserve">di essere edotto degli obblighi derivanti dal Codice di Comportamento dei dipendenti pubblici del Comune </w:t>
      </w:r>
      <w:r w:rsidR="00824392" w:rsidRPr="003844B2">
        <w:rPr>
          <w:rFonts w:ascii="Tahoma" w:eastAsia="Times New Roman" w:hAnsi="Tahoma" w:cs="Tahoma"/>
          <w:color w:val="000000"/>
          <w:sz w:val="20"/>
          <w:szCs w:val="20"/>
          <w:lang w:eastAsia="ar-SA" w:bidi="it-IT"/>
        </w:rPr>
        <w:t xml:space="preserve">di </w:t>
      </w:r>
      <w:r w:rsidR="00AE507D">
        <w:rPr>
          <w:rFonts w:ascii="Tahoma" w:eastAsia="Times New Roman" w:hAnsi="Tahoma" w:cs="Tahoma"/>
          <w:color w:val="000000"/>
          <w:sz w:val="20"/>
          <w:szCs w:val="20"/>
          <w:lang w:eastAsia="ar-SA" w:bidi="it-IT"/>
        </w:rPr>
        <w:t>Calendasco</w:t>
      </w:r>
      <w:r w:rsidRPr="003844B2">
        <w:rPr>
          <w:rFonts w:ascii="Tahoma" w:eastAsia="Times New Roman" w:hAnsi="Tahoma" w:cs="Tahoma"/>
          <w:color w:val="000000"/>
          <w:sz w:val="20"/>
          <w:szCs w:val="20"/>
          <w:lang w:eastAsia="ar-SA" w:bidi="it-IT"/>
        </w:rPr>
        <w:t xml:space="preserve">, </w:t>
      </w:r>
      <w:r w:rsidR="00824392" w:rsidRPr="003844B2">
        <w:rPr>
          <w:rFonts w:ascii="Tahoma" w:eastAsia="Tahoma" w:hAnsi="Tahoma" w:cs="Tahoma"/>
          <w:sz w:val="20"/>
          <w:lang w:eastAsia="it-IT" w:bidi="it-IT"/>
        </w:rPr>
        <w:t xml:space="preserve">approvato </w:t>
      </w:r>
      <w:r w:rsidR="008F2650" w:rsidRPr="003844B2">
        <w:rPr>
          <w:rFonts w:ascii="Tahoma" w:hAnsi="Tahoma" w:cs="Tahoma"/>
          <w:sz w:val="20"/>
        </w:rPr>
        <w:t xml:space="preserve">con Delibera di Giunta Comunale n. </w:t>
      </w:r>
      <w:r w:rsidR="00AE507D" w:rsidRPr="00AE507D">
        <w:rPr>
          <w:rFonts w:ascii="Tahoma" w:hAnsi="Tahoma" w:cs="Tahoma"/>
          <w:sz w:val="20"/>
        </w:rPr>
        <w:t>86 del 21.12.2017</w:t>
      </w:r>
      <w:r w:rsidR="00AE507D">
        <w:rPr>
          <w:rFonts w:ascii="Tahoma" w:hAnsi="Tahoma" w:cs="Tahoma"/>
          <w:sz w:val="20"/>
        </w:rPr>
        <w:t xml:space="preserve"> </w:t>
      </w:r>
      <w:r w:rsidRPr="003844B2">
        <w:rPr>
          <w:rFonts w:ascii="Tahoma" w:eastAsia="Times New Roman" w:hAnsi="Tahoma" w:cs="Tahoma"/>
          <w:color w:val="000000"/>
          <w:sz w:val="20"/>
          <w:szCs w:val="20"/>
          <w:lang w:eastAsia="ar-SA" w:bidi="it-IT"/>
        </w:rPr>
        <w:t>e di impegnarsi,</w:t>
      </w:r>
      <w:r w:rsidRPr="008F2650">
        <w:rPr>
          <w:rFonts w:ascii="Tahoma" w:eastAsia="Times New Roman" w:hAnsi="Tahoma" w:cs="Tahoma"/>
          <w:color w:val="000000"/>
          <w:sz w:val="20"/>
          <w:szCs w:val="20"/>
          <w:lang w:eastAsia="ar-SA" w:bidi="it-IT"/>
        </w:rPr>
        <w:t xml:space="preserve"> in caso di aggiudicazione, a osservare e far osservare ai propri dipendenti e collaboratori il suddetto codice, pena la risoluzione del contratto;</w:t>
      </w:r>
    </w:p>
    <w:p w14:paraId="12725ACE" w14:textId="7656FBAF" w:rsidR="00070189" w:rsidRPr="00AA19FC" w:rsidRDefault="00552F18" w:rsidP="00AA19FC">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w:t>
      </w:r>
      <w:r w:rsidR="00070189">
        <w:rPr>
          <w:rFonts w:ascii="Tahoma" w:eastAsia="Times New Roman" w:hAnsi="Tahoma" w:cs="Tahoma"/>
          <w:color w:val="000000"/>
          <w:sz w:val="20"/>
          <w:szCs w:val="20"/>
          <w:lang w:eastAsia="ar-SA"/>
        </w:rPr>
        <w:t>;</w:t>
      </w:r>
    </w:p>
    <w:p w14:paraId="06F1AB1D" w14:textId="3E98466F" w:rsidR="00552F18" w:rsidRPr="00070189" w:rsidRDefault="00070189" w:rsidP="005D34CB">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sidRPr="00070189">
        <w:rPr>
          <w:rFonts w:ascii="Tahoma" w:eastAsia="Times New Roman" w:hAnsi="Tahoma" w:cs="Tahoma"/>
          <w:color w:val="000000"/>
          <w:sz w:val="20"/>
          <w:szCs w:val="20"/>
          <w:lang w:eastAsia="ar-SA"/>
        </w:rPr>
        <w:t>di</w:t>
      </w:r>
      <w:r w:rsidR="00552F18" w:rsidRPr="00070189">
        <w:rPr>
          <w:rFonts w:ascii="Tahoma" w:eastAsia="Times New Roman" w:hAnsi="Tahoma" w:cs="Tahoma"/>
          <w:color w:val="000000"/>
          <w:sz w:val="20"/>
          <w:szCs w:val="20"/>
          <w:lang w:eastAsia="ar-SA"/>
        </w:rPr>
        <w:t xml:space="preserve"> aver presentato domanda di iscrizione </w:t>
      </w:r>
      <w:r w:rsidRPr="00070189">
        <w:rPr>
          <w:rFonts w:ascii="Tahoma" w:eastAsia="Times New Roman" w:hAnsi="Tahoma" w:cs="Tahoma"/>
          <w:color w:val="000000"/>
          <w:sz w:val="20"/>
          <w:szCs w:val="20"/>
          <w:lang w:eastAsia="ar-SA"/>
        </w:rPr>
        <w:t xml:space="preserve">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 </w:t>
      </w:r>
      <w:r>
        <w:rPr>
          <w:rFonts w:ascii="Tahoma" w:eastAsia="Times New Roman" w:hAnsi="Tahoma" w:cs="Tahoma"/>
          <w:color w:val="000000"/>
          <w:sz w:val="20"/>
          <w:szCs w:val="20"/>
          <w:lang w:eastAsia="ar-SA"/>
        </w:rPr>
        <w:t>in</w:t>
      </w:r>
      <w:r w:rsidR="00552F18" w:rsidRPr="00070189">
        <w:rPr>
          <w:rFonts w:ascii="Tahoma" w:eastAsia="Times New Roman" w:hAnsi="Tahoma" w:cs="Tahoma"/>
          <w:color w:val="000000"/>
          <w:sz w:val="20"/>
          <w:szCs w:val="20"/>
          <w:lang w:eastAsia="ar-SA"/>
        </w:rPr>
        <w:t xml:space="preserve"> data </w:t>
      </w:r>
      <w:r>
        <w:rPr>
          <w:rFonts w:ascii="Tahoma" w:eastAsia="Times New Roman" w:hAnsi="Tahoma" w:cs="Tahoma"/>
          <w:color w:val="000000"/>
          <w:sz w:val="20"/>
          <w:szCs w:val="20"/>
          <w:lang w:eastAsia="ar-SA"/>
        </w:rPr>
        <w:t xml:space="preserve">___________________ </w:t>
      </w:r>
      <w:r w:rsidR="00552F18" w:rsidRPr="00070189">
        <w:rPr>
          <w:rFonts w:ascii="Tahoma" w:eastAsia="Times New Roman" w:hAnsi="Tahoma" w:cs="Tahoma"/>
          <w:color w:val="000000"/>
          <w:sz w:val="20"/>
          <w:szCs w:val="20"/>
          <w:lang w:eastAsia="ar-SA"/>
        </w:rPr>
        <w:t>(ai sensi del comma 52 dell’art. 1 della Legge 190/2012 e della Circolare Ministero dell’Interno prot. 25954 del 23/03/2016 e DPCM 18/04/2013, come aggiornato dal DPCM 24/11/2016)</w:t>
      </w:r>
      <w:r w:rsidR="006D6ADC">
        <w:rPr>
          <w:rFonts w:ascii="Tahoma" w:eastAsia="Times New Roman" w:hAnsi="Tahoma" w:cs="Tahoma"/>
          <w:color w:val="000000"/>
          <w:sz w:val="20"/>
          <w:szCs w:val="20"/>
          <w:lang w:eastAsia="ar-SA"/>
        </w:rPr>
        <w:t>;</w:t>
      </w:r>
    </w:p>
    <w:p w14:paraId="4AD0B5E3" w14:textId="73F39FE7" w:rsidR="000776CE" w:rsidRDefault="00552F18" w:rsidP="000776CE">
      <w:pPr>
        <w:numPr>
          <w:ilvl w:val="0"/>
          <w:numId w:val="2"/>
        </w:numPr>
        <w:suppressAutoHyphens/>
        <w:spacing w:before="120" w:after="40" w:line="240" w:lineRule="auto"/>
        <w:ind w:left="357" w:hanging="357"/>
        <w:jc w:val="both"/>
        <w:rPr>
          <w:rFonts w:ascii="Tahoma" w:hAnsi="Tahoma" w:cs="Tahoma"/>
          <w:sz w:val="20"/>
          <w:szCs w:val="20"/>
        </w:rPr>
      </w:pPr>
      <w:r w:rsidRPr="008F2650">
        <w:rPr>
          <w:rFonts w:ascii="Tahoma" w:hAnsi="Tahoma" w:cs="Tahoma"/>
          <w:sz w:val="20"/>
          <w:szCs w:val="20"/>
        </w:rPr>
        <w:t xml:space="preserve">di accettare </w:t>
      </w:r>
      <w:r w:rsidR="00400481" w:rsidRPr="008F2650">
        <w:rPr>
          <w:rFonts w:ascii="Tahoma" w:hAnsi="Tahoma" w:cs="Tahoma"/>
          <w:sz w:val="20"/>
          <w:szCs w:val="20"/>
        </w:rPr>
        <w:t>le clausole</w:t>
      </w:r>
      <w:r w:rsidR="00400481" w:rsidRPr="00580372">
        <w:rPr>
          <w:rFonts w:ascii="Tahoma" w:hAnsi="Tahoma" w:cs="Tahoma"/>
          <w:sz w:val="20"/>
          <w:szCs w:val="20"/>
        </w:rPr>
        <w:t xml:space="preserve"> del </w:t>
      </w:r>
      <w:r w:rsidR="00400481" w:rsidRPr="00580372">
        <w:rPr>
          <w:rFonts w:ascii="Tahoma" w:hAnsi="Tahoma" w:cs="Tahoma"/>
          <w:b/>
          <w:sz w:val="20"/>
          <w:szCs w:val="20"/>
        </w:rPr>
        <w:t>“Protocollo d'intesa per la prevenzione dei tentativi di infiltrazione della criminalità organizzata nel settore degli appalti e concessioni di lavori pubblici”</w:t>
      </w:r>
      <w:r w:rsidR="008F2650">
        <w:rPr>
          <w:rFonts w:ascii="Tahoma" w:hAnsi="Tahoma" w:cs="Tahoma"/>
          <w:b/>
          <w:sz w:val="20"/>
          <w:szCs w:val="20"/>
        </w:rPr>
        <w:t>,</w:t>
      </w:r>
      <w:r w:rsidR="00400481" w:rsidRPr="00580372">
        <w:rPr>
          <w:rFonts w:ascii="Tahoma" w:hAnsi="Tahoma" w:cs="Tahoma"/>
          <w:sz w:val="20"/>
          <w:szCs w:val="20"/>
        </w:rPr>
        <w:t xml:space="preserve"> </w:t>
      </w:r>
      <w:r w:rsidR="008F2650" w:rsidRPr="008F2650">
        <w:rPr>
          <w:rFonts w:ascii="Tahoma" w:hAnsi="Tahoma" w:cs="Tahoma"/>
          <w:sz w:val="20"/>
          <w:szCs w:val="20"/>
        </w:rPr>
        <w:t>sottoscritto dal Com</w:t>
      </w:r>
      <w:r w:rsidR="008F2650" w:rsidRPr="000776CE">
        <w:rPr>
          <w:rFonts w:ascii="Tahoma" w:hAnsi="Tahoma" w:cs="Tahoma"/>
          <w:sz w:val="20"/>
          <w:szCs w:val="20"/>
        </w:rPr>
        <w:t xml:space="preserve">une di </w:t>
      </w:r>
      <w:r w:rsidR="00AE507D">
        <w:rPr>
          <w:rFonts w:ascii="Tahoma" w:hAnsi="Tahoma" w:cs="Tahoma"/>
          <w:sz w:val="20"/>
          <w:szCs w:val="20"/>
        </w:rPr>
        <w:t>Calendasco</w:t>
      </w:r>
      <w:r w:rsidR="008F2650" w:rsidRPr="000776CE">
        <w:rPr>
          <w:rFonts w:ascii="Tahoma" w:hAnsi="Tahoma" w:cs="Tahoma"/>
          <w:sz w:val="20"/>
          <w:szCs w:val="20"/>
        </w:rPr>
        <w:t xml:space="preserve"> e la Prefettura di </w:t>
      </w:r>
      <w:r w:rsidR="008F2650" w:rsidRPr="0064354D">
        <w:rPr>
          <w:rFonts w:ascii="Tahoma" w:hAnsi="Tahoma" w:cs="Tahoma"/>
          <w:sz w:val="20"/>
          <w:szCs w:val="20"/>
        </w:rPr>
        <w:t xml:space="preserve">Piacenza </w:t>
      </w:r>
      <w:bookmarkStart w:id="4" w:name="_Hlk136273838"/>
      <w:r w:rsidR="008F2650" w:rsidRPr="0064354D">
        <w:rPr>
          <w:rFonts w:ascii="Tahoma" w:hAnsi="Tahoma" w:cs="Tahoma"/>
          <w:sz w:val="20"/>
          <w:szCs w:val="20"/>
        </w:rPr>
        <w:t xml:space="preserve">in data </w:t>
      </w:r>
      <w:r w:rsidR="00B05E00">
        <w:rPr>
          <w:rFonts w:ascii="Tahoma" w:hAnsi="Tahoma" w:cs="Tahoma"/>
          <w:sz w:val="20"/>
          <w:szCs w:val="20"/>
        </w:rPr>
        <w:t>04</w:t>
      </w:r>
      <w:r w:rsidR="008F2650" w:rsidRPr="0064354D">
        <w:rPr>
          <w:rFonts w:ascii="Tahoma" w:hAnsi="Tahoma" w:cs="Tahoma"/>
          <w:sz w:val="20"/>
          <w:szCs w:val="20"/>
        </w:rPr>
        <w:t>/</w:t>
      </w:r>
      <w:r w:rsidR="00B05E00">
        <w:rPr>
          <w:rFonts w:ascii="Tahoma" w:hAnsi="Tahoma" w:cs="Tahoma"/>
          <w:sz w:val="20"/>
          <w:szCs w:val="20"/>
        </w:rPr>
        <w:t>04</w:t>
      </w:r>
      <w:r w:rsidR="008F2650" w:rsidRPr="0064354D">
        <w:rPr>
          <w:rFonts w:ascii="Tahoma" w:hAnsi="Tahoma" w:cs="Tahoma"/>
          <w:sz w:val="20"/>
          <w:szCs w:val="20"/>
        </w:rPr>
        <w:t>/20</w:t>
      </w:r>
      <w:r w:rsidR="00B05E00">
        <w:rPr>
          <w:rFonts w:ascii="Tahoma" w:hAnsi="Tahoma" w:cs="Tahoma"/>
          <w:sz w:val="20"/>
          <w:szCs w:val="20"/>
        </w:rPr>
        <w:t>23</w:t>
      </w:r>
      <w:r w:rsidR="008F2650" w:rsidRPr="0064354D">
        <w:rPr>
          <w:rFonts w:ascii="Tahoma" w:hAnsi="Tahoma" w:cs="Tahoma"/>
          <w:sz w:val="20"/>
          <w:szCs w:val="20"/>
        </w:rPr>
        <w:t xml:space="preserve"> </w:t>
      </w:r>
      <w:bookmarkEnd w:id="4"/>
      <w:r w:rsidR="008F2650" w:rsidRPr="0064354D">
        <w:rPr>
          <w:rFonts w:ascii="Tahoma" w:hAnsi="Tahoma" w:cs="Tahoma"/>
          <w:sz w:val="20"/>
          <w:szCs w:val="20"/>
        </w:rPr>
        <w:t>consultabile</w:t>
      </w:r>
      <w:r w:rsidR="008F2650" w:rsidRPr="000776CE">
        <w:rPr>
          <w:rFonts w:ascii="Tahoma" w:hAnsi="Tahoma" w:cs="Tahoma"/>
          <w:sz w:val="20"/>
          <w:szCs w:val="20"/>
        </w:rPr>
        <w:t xml:space="preserve"> al presente collegamento:</w:t>
      </w:r>
    </w:p>
    <w:p w14:paraId="4FE54AE1" w14:textId="7DC8CB61" w:rsidR="008F2650" w:rsidRPr="00AE507D" w:rsidRDefault="002050F0" w:rsidP="000776CE">
      <w:pPr>
        <w:suppressAutoHyphens/>
        <w:spacing w:before="120" w:after="40" w:line="240" w:lineRule="auto"/>
        <w:ind w:left="357"/>
        <w:jc w:val="both"/>
        <w:rPr>
          <w:rStyle w:val="Collegamentoipertestuale"/>
          <w:rFonts w:ascii="Tahoma" w:hAnsi="Tahoma" w:cs="Tahoma"/>
          <w:sz w:val="20"/>
          <w:szCs w:val="20"/>
        </w:rPr>
      </w:pPr>
      <w:hyperlink r:id="rId9" w:history="1">
        <w:r w:rsidR="00AE507D" w:rsidRPr="00EE5407">
          <w:rPr>
            <w:rStyle w:val="Collegamentoipertestuale"/>
            <w:rFonts w:ascii="Tahoma" w:hAnsi="Tahoma" w:cs="Tahoma"/>
            <w:sz w:val="20"/>
            <w:szCs w:val="20"/>
          </w:rPr>
          <w:t>http://www.prefettura.it/piacenza/download.php?coming=Y29udGVudXRpL0ludGVzYV9wZXJfbGFfbGVnYWxpdF9hZ3JhdmVfZV9sYV9wcmV2ZW56aW9uZV9kZWlfdGVudGF0aXZpX2RfaW5maWx0cmF6aW9uZV9jcmltaW5hbGVfY29uX2lsX2NvbXVuZV9kaV9jYWxlbmRhc2NvLTE2Mjk0MDQ5Lmh0bQ==&amp;f=Spages&amp;file=L0ZJTEVTL0FsbGVnYXRpUGFnLzEyMDcvaW50ZXNhbGVnYWxpdGFjb211bmVkaWNhbGVuZGFzY29maXJtYXRhLnBkZg==&amp;id_sito=1207&amp;s=download.php</w:t>
        </w:r>
      </w:hyperlink>
      <w:r w:rsidR="00AE507D">
        <w:rPr>
          <w:rFonts w:ascii="Tahoma" w:eastAsiaTheme="minorHAnsi" w:hAnsi="Tahoma" w:cs="Tahoma"/>
          <w:sz w:val="20"/>
          <w:szCs w:val="20"/>
        </w:rPr>
        <w:fldChar w:fldCharType="begin"/>
      </w:r>
      <w:r w:rsidR="00AE507D">
        <w:rPr>
          <w:rFonts w:ascii="Tahoma" w:eastAsiaTheme="minorHAnsi" w:hAnsi="Tahoma" w:cs="Tahoma"/>
          <w:sz w:val="20"/>
          <w:szCs w:val="20"/>
        </w:rPr>
        <w:instrText>HYPERLINK "http://www.prefettura.it/piacenza/download.php?coming=Y29udGVudXRpL0ludGVzYV9wZXJfbGFfbGVnYWxpdF9hZ3JhdmVfZV9sYV9wcmV2ZW56aW9uZV9kZWlfdGVudGF0aXZpX2RfaW5maWx0cmF6aW9uZV9jcmltaW5hbGVfY29uX2lsX2NvbXVuZV9kaV9jYWxlbmRhc2NvLTE2Mjk0MDQ5Lmh0bQ==&amp;f=Spages&amp;file=L0ZJTEVTL0FsbGVnYXRpUGFnLzEyMDcvaW50ZXNhbGVnYWxpdGFjb211bmVkaWNhbGVuZGFzY29maXJtYXRhLnBkZg==&amp;id_sito=1207&amp;s=download.php"</w:instrText>
      </w:r>
      <w:r w:rsidR="00AE507D">
        <w:rPr>
          <w:rFonts w:ascii="Tahoma" w:eastAsiaTheme="minorHAnsi" w:hAnsi="Tahoma" w:cs="Tahoma"/>
          <w:sz w:val="20"/>
          <w:szCs w:val="20"/>
        </w:rPr>
        <w:fldChar w:fldCharType="separate"/>
      </w:r>
    </w:p>
    <w:p w14:paraId="6D8BD22C" w14:textId="64DDE627" w:rsidR="00552F18" w:rsidRPr="00A643E7" w:rsidRDefault="00AE507D" w:rsidP="008F2650">
      <w:pPr>
        <w:numPr>
          <w:ilvl w:val="0"/>
          <w:numId w:val="2"/>
        </w:numPr>
        <w:suppressAutoHyphens/>
        <w:spacing w:before="120" w:after="200" w:line="240" w:lineRule="auto"/>
        <w:ind w:left="357" w:hanging="357"/>
        <w:jc w:val="both"/>
        <w:rPr>
          <w:rFonts w:ascii="Tahoma" w:eastAsia="Times New Roman" w:hAnsi="Tahoma" w:cs="Tahoma"/>
          <w:color w:val="000000"/>
          <w:sz w:val="20"/>
          <w:szCs w:val="20"/>
        </w:rPr>
      </w:pPr>
      <w:r>
        <w:rPr>
          <w:rFonts w:ascii="Tahoma" w:eastAsiaTheme="minorHAnsi" w:hAnsi="Tahoma" w:cs="Tahoma"/>
          <w:sz w:val="20"/>
          <w:szCs w:val="20"/>
        </w:rPr>
        <w:fldChar w:fldCharType="end"/>
      </w:r>
      <w:r w:rsidR="00552F18" w:rsidRPr="00580372">
        <w:rPr>
          <w:rFonts w:ascii="Tahoma" w:eastAsia="Times New Roman" w:hAnsi="Tahoma" w:cs="Tahoma"/>
          <w:color w:val="000000"/>
          <w:sz w:val="20"/>
          <w:szCs w:val="20"/>
        </w:rPr>
        <w:t>di autorizzare il trattamento dei dati personali ai sensi dell’informativa riportata nel paragrafo “TRATTAMENTO</w:t>
      </w:r>
      <w:r w:rsidR="00552F18">
        <w:rPr>
          <w:rFonts w:ascii="Tahoma" w:eastAsia="Times New Roman" w:hAnsi="Tahoma" w:cs="Tahoma"/>
          <w:color w:val="000000"/>
          <w:sz w:val="20"/>
          <w:szCs w:val="20"/>
        </w:rPr>
        <w:t xml:space="preserve"> DEI DATI PERSONALI” del disciplinare.</w:t>
      </w:r>
    </w:p>
    <w:p w14:paraId="166A5D9A" w14:textId="77777777" w:rsidR="00F70D29" w:rsidRDefault="00F70D29"/>
    <w:sectPr w:rsidR="00F70D29" w:rsidSect="00D83799">
      <w:footerReference w:type="default" r:id="rId10"/>
      <w:pgSz w:w="11906" w:h="16838"/>
      <w:pgMar w:top="1134"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66973" w14:textId="77777777" w:rsidR="007F2463" w:rsidRDefault="007F2463" w:rsidP="007F2463">
      <w:pPr>
        <w:spacing w:after="0" w:line="240" w:lineRule="auto"/>
      </w:pPr>
      <w:r>
        <w:separator/>
      </w:r>
    </w:p>
  </w:endnote>
  <w:endnote w:type="continuationSeparator" w:id="0">
    <w:p w14:paraId="6D3E524E" w14:textId="77777777" w:rsidR="007F2463" w:rsidRDefault="007F2463" w:rsidP="007F2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870E2" w14:textId="74C73854" w:rsidR="007F2463" w:rsidRDefault="00926DFC" w:rsidP="00D83799">
    <w:pPr>
      <w:pStyle w:val="Pidipagina"/>
    </w:pPr>
    <w:r>
      <w:rPr>
        <w:noProof/>
      </w:rPr>
      <w:drawing>
        <wp:inline distT="0" distB="0" distL="0" distR="0" wp14:anchorId="4012AB42" wp14:editId="2740D733">
          <wp:extent cx="2919730" cy="728695"/>
          <wp:effectExtent l="0" t="0" r="0" b="0"/>
          <wp:docPr id="1965631373" name="Immagine 1965631373" descr="Immagine che contiene testo, Carattere, Blu elettric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21749" name="Immagine 1" descr="Immagine che contiene testo, Carattere, Blu elettrico,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3722" cy="739674"/>
                  </a:xfrm>
                  <a:prstGeom prst="rect">
                    <a:avLst/>
                  </a:prstGeom>
                  <a:noFill/>
                </pic:spPr>
              </pic:pic>
            </a:graphicData>
          </a:graphic>
        </wp:inline>
      </w:drawing>
    </w:r>
    <w:r>
      <w:tab/>
    </w:r>
    <w:r>
      <w:tab/>
    </w:r>
    <w:sdt>
      <w:sdtPr>
        <w:id w:val="1496764194"/>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8275E" w14:textId="77777777" w:rsidR="007F2463" w:rsidRDefault="007F2463" w:rsidP="007F2463">
      <w:pPr>
        <w:spacing w:after="0" w:line="240" w:lineRule="auto"/>
      </w:pPr>
      <w:r>
        <w:separator/>
      </w:r>
    </w:p>
  </w:footnote>
  <w:footnote w:type="continuationSeparator" w:id="0">
    <w:p w14:paraId="1A2F9EDB" w14:textId="77777777" w:rsidR="007F2463" w:rsidRDefault="007F2463" w:rsidP="007F2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0D"/>
    <w:multiLevelType w:val="multilevel"/>
    <w:tmpl w:val="0000000D"/>
    <w:name w:val="WW8Num13"/>
    <w:lvl w:ilvl="0">
      <w:numFmt w:val="bullet"/>
      <w:lvlText w:val=""/>
      <w:lvlJc w:val="left"/>
      <w:pPr>
        <w:tabs>
          <w:tab w:val="num" w:pos="0"/>
        </w:tabs>
        <w:ind w:left="742" w:hanging="360"/>
      </w:pPr>
      <w:rPr>
        <w:rFonts w:ascii="Symbol" w:hAnsi="Symbol" w:cs="Times New Roman" w:hint="default"/>
        <w:b/>
        <w:spacing w:val="-1"/>
        <w:w w:val="99"/>
        <w:sz w:val="20"/>
        <w:lang w:val="it-IT" w:eastAsia="it-IT" w:bidi="it-IT"/>
      </w:rPr>
    </w:lvl>
    <w:lvl w:ilvl="1">
      <w:start w:val="1"/>
      <w:numFmt w:val="decimal"/>
      <w:lvlText w:val="%2."/>
      <w:lvlJc w:val="left"/>
      <w:pPr>
        <w:tabs>
          <w:tab w:val="num" w:pos="0"/>
        </w:tabs>
        <w:ind w:left="600" w:hanging="332"/>
      </w:pPr>
      <w:rPr>
        <w:rFonts w:ascii="Symbol" w:eastAsia="Symbol" w:hAnsi="Symbol" w:cs="Symbol" w:hint="default"/>
        <w:w w:val="99"/>
        <w:sz w:val="20"/>
        <w:szCs w:val="20"/>
        <w:lang w:val="it-IT" w:eastAsia="it-IT" w:bidi="it-IT"/>
      </w:rPr>
    </w:lvl>
    <w:lvl w:ilvl="2">
      <w:start w:val="1"/>
      <w:numFmt w:val="decimal"/>
      <w:lvlText w:val="%3."/>
      <w:lvlJc w:val="left"/>
      <w:pPr>
        <w:tabs>
          <w:tab w:val="num" w:pos="0"/>
        </w:tabs>
        <w:ind w:left="960" w:hanging="360"/>
      </w:pPr>
      <w:rPr>
        <w:lang w:val="it-IT" w:eastAsia="it-IT" w:bidi="it-IT"/>
      </w:rPr>
    </w:lvl>
    <w:lvl w:ilvl="3">
      <w:numFmt w:val="bullet"/>
      <w:lvlText w:val="•"/>
      <w:lvlJc w:val="left"/>
      <w:pPr>
        <w:tabs>
          <w:tab w:val="num" w:pos="0"/>
        </w:tabs>
        <w:ind w:left="2129" w:hanging="360"/>
      </w:pPr>
      <w:rPr>
        <w:rFonts w:ascii="Times New Roman" w:hAnsi="Times New Roman" w:cs="Times New Roman" w:hint="default"/>
        <w:lang w:val="it-IT" w:eastAsia="it-IT" w:bidi="it-IT"/>
      </w:rPr>
    </w:lvl>
    <w:lvl w:ilvl="4">
      <w:numFmt w:val="bullet"/>
      <w:lvlText w:val="•"/>
      <w:lvlJc w:val="left"/>
      <w:pPr>
        <w:tabs>
          <w:tab w:val="num" w:pos="0"/>
        </w:tabs>
        <w:ind w:left="3299" w:hanging="360"/>
      </w:pPr>
      <w:rPr>
        <w:rFonts w:ascii="Times New Roman" w:hAnsi="Times New Roman" w:cs="Times New Roman" w:hint="default"/>
        <w:lang w:val="it-IT" w:eastAsia="it-IT" w:bidi="it-IT"/>
      </w:rPr>
    </w:lvl>
    <w:lvl w:ilvl="5">
      <w:numFmt w:val="bullet"/>
      <w:lvlText w:val="•"/>
      <w:lvlJc w:val="left"/>
      <w:pPr>
        <w:tabs>
          <w:tab w:val="num" w:pos="0"/>
        </w:tabs>
        <w:ind w:left="4469" w:hanging="360"/>
      </w:pPr>
      <w:rPr>
        <w:rFonts w:ascii="Times New Roman" w:hAnsi="Times New Roman" w:cs="Times New Roman" w:hint="default"/>
        <w:lang w:val="it-IT" w:eastAsia="it-IT" w:bidi="it-IT"/>
      </w:rPr>
    </w:lvl>
    <w:lvl w:ilvl="6">
      <w:numFmt w:val="bullet"/>
      <w:lvlText w:val="•"/>
      <w:lvlJc w:val="left"/>
      <w:pPr>
        <w:tabs>
          <w:tab w:val="num" w:pos="0"/>
        </w:tabs>
        <w:ind w:left="5639" w:hanging="360"/>
      </w:pPr>
      <w:rPr>
        <w:rFonts w:ascii="Times New Roman" w:hAnsi="Times New Roman" w:cs="Times New Roman" w:hint="default"/>
        <w:lang w:val="it-IT" w:eastAsia="it-IT" w:bidi="it-IT"/>
      </w:rPr>
    </w:lvl>
    <w:lvl w:ilvl="7">
      <w:numFmt w:val="bullet"/>
      <w:lvlText w:val="•"/>
      <w:lvlJc w:val="left"/>
      <w:pPr>
        <w:tabs>
          <w:tab w:val="num" w:pos="0"/>
        </w:tabs>
        <w:ind w:left="6809" w:hanging="360"/>
      </w:pPr>
      <w:rPr>
        <w:rFonts w:ascii="Times New Roman" w:hAnsi="Times New Roman" w:cs="Times New Roman" w:hint="default"/>
        <w:lang w:val="it-IT" w:eastAsia="it-IT" w:bidi="it-IT"/>
      </w:rPr>
    </w:lvl>
    <w:lvl w:ilvl="8">
      <w:numFmt w:val="bullet"/>
      <w:lvlText w:val="•"/>
      <w:lvlJc w:val="left"/>
      <w:pPr>
        <w:tabs>
          <w:tab w:val="num" w:pos="0"/>
        </w:tabs>
        <w:ind w:left="7979" w:hanging="360"/>
      </w:pPr>
      <w:rPr>
        <w:rFonts w:ascii="Times New Roman" w:hAnsi="Times New Roman" w:cs="Times New Roman" w:hint="default"/>
        <w:lang w:val="it-IT" w:eastAsia="it-IT" w:bidi="it-IT"/>
      </w:rPr>
    </w:lvl>
  </w:abstractNum>
  <w:abstractNum w:abstractNumId="2"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3"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14147872"/>
    <w:multiLevelType w:val="hybridMultilevel"/>
    <w:tmpl w:val="FCC807C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5" w15:restartNumberingAfterBreak="0">
    <w:nsid w:val="14DB4D78"/>
    <w:multiLevelType w:val="hybridMultilevel"/>
    <w:tmpl w:val="84868FE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A3C02FD"/>
    <w:multiLevelType w:val="hybridMultilevel"/>
    <w:tmpl w:val="A0F8E234"/>
    <w:name w:val="WW8Num42"/>
    <w:lvl w:ilvl="0" w:tplc="041E649E">
      <w:start w:val="1"/>
      <w:numFmt w:val="lowerLetter"/>
      <w:lvlText w:val="%1)"/>
      <w:lvlJc w:val="left"/>
      <w:pPr>
        <w:ind w:left="720" w:hanging="360"/>
      </w:pPr>
      <w:rPr>
        <w:rFonts w:ascii="Tahoma" w:hAnsi="Tahoma" w:cs="Tahoma" w:hint="default"/>
        <w:b w:val="0"/>
        <w:i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lvlOverride w:ilvl="0"/>
    <w:lvlOverride w:ilvl="1">
      <w:startOverride w:val="1"/>
    </w:lvlOverride>
    <w:lvlOverride w:ilvl="2">
      <w:startOverride w:val="1"/>
    </w:lvlOverride>
    <w:lvlOverride w:ilvl="3"/>
    <w:lvlOverride w:ilvl="4"/>
    <w:lvlOverride w:ilvl="5"/>
    <w:lvlOverride w:ilvl="6"/>
    <w:lvlOverride w:ilvl="7"/>
    <w:lvlOverride w:ilvl="8"/>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18"/>
    <w:rsid w:val="000120A0"/>
    <w:rsid w:val="0004777B"/>
    <w:rsid w:val="00064A2F"/>
    <w:rsid w:val="00070189"/>
    <w:rsid w:val="000776CE"/>
    <w:rsid w:val="000E43D7"/>
    <w:rsid w:val="00192F5B"/>
    <w:rsid w:val="001B2D8D"/>
    <w:rsid w:val="002050F0"/>
    <w:rsid w:val="002160D5"/>
    <w:rsid w:val="00251BC4"/>
    <w:rsid w:val="00280D8D"/>
    <w:rsid w:val="002B3E2D"/>
    <w:rsid w:val="00321B08"/>
    <w:rsid w:val="003844B2"/>
    <w:rsid w:val="003A76DD"/>
    <w:rsid w:val="003E6315"/>
    <w:rsid w:val="003E6C4F"/>
    <w:rsid w:val="00400481"/>
    <w:rsid w:val="004A25BA"/>
    <w:rsid w:val="004C5062"/>
    <w:rsid w:val="004E29C1"/>
    <w:rsid w:val="004E4C80"/>
    <w:rsid w:val="00552F18"/>
    <w:rsid w:val="005D34CB"/>
    <w:rsid w:val="00606C81"/>
    <w:rsid w:val="00631741"/>
    <w:rsid w:val="0064354D"/>
    <w:rsid w:val="00683408"/>
    <w:rsid w:val="0069438B"/>
    <w:rsid w:val="006A6DA2"/>
    <w:rsid w:val="006D6ADC"/>
    <w:rsid w:val="007227C4"/>
    <w:rsid w:val="00766A2E"/>
    <w:rsid w:val="007F2463"/>
    <w:rsid w:val="00824392"/>
    <w:rsid w:val="0086608D"/>
    <w:rsid w:val="008A2891"/>
    <w:rsid w:val="008F2650"/>
    <w:rsid w:val="008F6068"/>
    <w:rsid w:val="00926DFC"/>
    <w:rsid w:val="009325D1"/>
    <w:rsid w:val="00AA19FC"/>
    <w:rsid w:val="00AE507D"/>
    <w:rsid w:val="00AE7553"/>
    <w:rsid w:val="00B05E00"/>
    <w:rsid w:val="00B778A3"/>
    <w:rsid w:val="00B9291C"/>
    <w:rsid w:val="00C4478B"/>
    <w:rsid w:val="00D35264"/>
    <w:rsid w:val="00D35662"/>
    <w:rsid w:val="00D83799"/>
    <w:rsid w:val="00EE67E5"/>
    <w:rsid w:val="00F2625C"/>
    <w:rsid w:val="00F70D29"/>
    <w:rsid w:val="00F72515"/>
    <w:rsid w:val="00FA4545"/>
    <w:rsid w:val="00FA5F4F"/>
    <w:rsid w:val="00FD52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9EBEBE"/>
  <w15:chartTrackingRefBased/>
  <w15:docId w15:val="{76E4B3E7-4A8B-4B2E-A005-622DCFCA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52F18"/>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52F18"/>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552F18"/>
    <w:pPr>
      <w:ind w:left="720"/>
      <w:contextualSpacing/>
    </w:pPr>
  </w:style>
  <w:style w:type="character" w:styleId="Collegamentoipertestuale">
    <w:name w:val="Hyperlink"/>
    <w:basedOn w:val="Carpredefinitoparagrafo"/>
    <w:uiPriority w:val="99"/>
    <w:unhideWhenUsed/>
    <w:rsid w:val="00552F18"/>
    <w:rPr>
      <w:color w:val="0563C1" w:themeColor="hyperlink"/>
      <w:u w:val="single"/>
    </w:rPr>
  </w:style>
  <w:style w:type="paragraph" w:styleId="Intestazione">
    <w:name w:val="header"/>
    <w:basedOn w:val="Normale"/>
    <w:link w:val="IntestazioneCarattere"/>
    <w:uiPriority w:val="99"/>
    <w:unhideWhenUsed/>
    <w:rsid w:val="007F24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2463"/>
    <w:rPr>
      <w:rFonts w:ascii="Calibri" w:eastAsia="Calibri" w:hAnsi="Calibri" w:cs="Times New Roman"/>
    </w:rPr>
  </w:style>
  <w:style w:type="paragraph" w:styleId="Pidipagina">
    <w:name w:val="footer"/>
    <w:basedOn w:val="Normale"/>
    <w:link w:val="PidipaginaCarattere"/>
    <w:uiPriority w:val="99"/>
    <w:unhideWhenUsed/>
    <w:rsid w:val="007F24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2463"/>
    <w:rPr>
      <w:rFonts w:ascii="Calibri" w:eastAsia="Calibri" w:hAnsi="Calibri" w:cs="Times New Roman"/>
    </w:rPr>
  </w:style>
  <w:style w:type="character" w:styleId="Menzionenonrisolta">
    <w:name w:val="Unresolved Mention"/>
    <w:basedOn w:val="Carpredefinitoparagrafo"/>
    <w:uiPriority w:val="99"/>
    <w:semiHidden/>
    <w:unhideWhenUsed/>
    <w:rsid w:val="000776CE"/>
    <w:rPr>
      <w:color w:val="605E5C"/>
      <w:shd w:val="clear" w:color="auto" w:fill="E1DFDD"/>
    </w:rPr>
  </w:style>
  <w:style w:type="character" w:styleId="Collegamentovisitato">
    <w:name w:val="FollowedHyperlink"/>
    <w:basedOn w:val="Carpredefinitoparagrafo"/>
    <w:uiPriority w:val="99"/>
    <w:semiHidden/>
    <w:unhideWhenUsed/>
    <w:rsid w:val="006435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efettura.it/piacenza/download.php?coming=Y29udGVudXRpL0ludGVzYV9wZXJfbGFfbGVnYWxpdF9hZ3JhdmVfZV9sYV9wcmV2ZW56aW9uZV9kZWlfdGVudGF0aXZpX2RfaW5maWx0cmF6aW9uZV9jcmltaW5hbGVfY29uX2lsX2NvbXVuZV9kaV9jYWxlbmRhc2NvLTE2Mjk0MDQ5Lmh0bQ==&amp;f=Spages&amp;file=L0ZJTEVTL0FsbGVnYXRpUGFnLzEyMDcvaW50ZXNhbGVnYWxpdGFjb211bmVkaWNhbGVuZGFzY29maXJtYXRhLnBkZg==&amp;id_sito=1207&amp;s=download.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7</Pages>
  <Words>3840</Words>
  <Characters>21890</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Arena, Viviana</cp:lastModifiedBy>
  <cp:revision>55</cp:revision>
  <dcterms:created xsi:type="dcterms:W3CDTF">2023-03-27T09:51:00Z</dcterms:created>
  <dcterms:modified xsi:type="dcterms:W3CDTF">2023-06-28T14:24:00Z</dcterms:modified>
</cp:coreProperties>
</file>